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BA584" w14:textId="77777777" w:rsidR="00054068" w:rsidRPr="00200B6F" w:rsidRDefault="00054068" w:rsidP="00054068">
      <w:pPr>
        <w:rPr>
          <w:rFonts w:ascii="Ping LCG Regular" w:hAnsi="Ping LCG Regular"/>
          <w:b/>
          <w:bCs/>
          <w:color w:val="000000"/>
          <w:sz w:val="28"/>
          <w:szCs w:val="28"/>
        </w:rPr>
      </w:pPr>
    </w:p>
    <w:p w14:paraId="20FA5F1B" w14:textId="77777777" w:rsidR="00FC5ED9" w:rsidRPr="00145FF1" w:rsidRDefault="00FC5ED9" w:rsidP="00054068">
      <w:pPr>
        <w:rPr>
          <w:rFonts w:ascii="Ping LCG Regular" w:hAnsi="Ping LCG Regular"/>
          <w:b/>
          <w:bCs/>
          <w:color w:val="000000"/>
          <w:sz w:val="28"/>
          <w:szCs w:val="28"/>
          <w:lang w:val="el-GR"/>
        </w:rPr>
      </w:pPr>
    </w:p>
    <w:p w14:paraId="5CB67630" w14:textId="3BCB7FE3" w:rsidR="00054068" w:rsidRPr="00EF27E4" w:rsidRDefault="00FD7D18" w:rsidP="0080532B">
      <w:pPr>
        <w:tabs>
          <w:tab w:val="left" w:pos="2127"/>
        </w:tabs>
        <w:ind w:left="1276"/>
        <w:jc w:val="right"/>
        <w:rPr>
          <w:rFonts w:ascii="Ping LCG Regular" w:hAnsi="Ping LCG Regular"/>
          <w:sz w:val="22"/>
          <w:szCs w:val="22"/>
          <w:lang w:val="el-GR"/>
        </w:rPr>
      </w:pPr>
      <w:r w:rsidRPr="00EF27E4">
        <w:rPr>
          <w:rFonts w:ascii="Ping LCG Regular" w:hAnsi="Ping LCG Regular"/>
          <w:sz w:val="22"/>
          <w:szCs w:val="22"/>
          <w:lang w:val="el-GR"/>
        </w:rPr>
        <w:t>26</w:t>
      </w:r>
      <w:r w:rsidR="00576B75" w:rsidRPr="00EF27E4">
        <w:rPr>
          <w:rFonts w:ascii="Ping LCG Regular" w:hAnsi="Ping LCG Regular"/>
          <w:sz w:val="22"/>
          <w:szCs w:val="22"/>
          <w:lang w:val="el-GR"/>
        </w:rPr>
        <w:t xml:space="preserve"> </w:t>
      </w:r>
      <w:r w:rsidRPr="00EF27E4">
        <w:rPr>
          <w:rFonts w:ascii="Ping LCG Regular" w:hAnsi="Ping LCG Regular"/>
          <w:sz w:val="22"/>
          <w:szCs w:val="22"/>
          <w:lang w:val="el-GR"/>
        </w:rPr>
        <w:t>Μαρτίου</w:t>
      </w:r>
      <w:r w:rsidR="00576B75" w:rsidRPr="00EF27E4">
        <w:rPr>
          <w:rFonts w:ascii="Ping LCG Regular" w:hAnsi="Ping LCG Regular"/>
          <w:sz w:val="22"/>
          <w:szCs w:val="22"/>
          <w:lang w:val="el-GR"/>
        </w:rPr>
        <w:t xml:space="preserve"> </w:t>
      </w:r>
      <w:r w:rsidR="00764096" w:rsidRPr="00EF27E4">
        <w:rPr>
          <w:rFonts w:ascii="Ping LCG Regular" w:hAnsi="Ping LCG Regular"/>
          <w:sz w:val="22"/>
          <w:szCs w:val="22"/>
          <w:lang w:val="el-GR"/>
        </w:rPr>
        <w:t>202</w:t>
      </w:r>
      <w:r w:rsidRPr="00EF27E4">
        <w:rPr>
          <w:rFonts w:ascii="Ping LCG Regular" w:hAnsi="Ping LCG Regular"/>
          <w:sz w:val="22"/>
          <w:szCs w:val="22"/>
          <w:lang w:val="el-GR"/>
        </w:rPr>
        <w:t>5</w:t>
      </w:r>
    </w:p>
    <w:p w14:paraId="18C53B2E" w14:textId="77777777" w:rsidR="00585A7A" w:rsidRPr="00EF27E4" w:rsidRDefault="00585A7A" w:rsidP="00585A7A">
      <w:pPr>
        <w:jc w:val="center"/>
        <w:rPr>
          <w:rFonts w:ascii="Ping LCG Regular" w:hAnsi="Ping LCG Regular" w:cstheme="minorHAnsi"/>
          <w:b/>
          <w:bCs/>
          <w:sz w:val="28"/>
          <w:szCs w:val="28"/>
          <w:highlight w:val="yellow"/>
          <w:lang w:val="el-GR"/>
        </w:rPr>
      </w:pPr>
    </w:p>
    <w:p w14:paraId="343C93AD" w14:textId="1674CF47" w:rsidR="009A7D5B" w:rsidRPr="00FA56E1" w:rsidRDefault="000D0865" w:rsidP="00145FF1">
      <w:pPr>
        <w:jc w:val="center"/>
        <w:rPr>
          <w:rFonts w:ascii="Ping LCG Regular" w:hAnsi="Ping LCG Regular" w:cstheme="minorHAnsi"/>
          <w:b/>
          <w:bCs/>
          <w:sz w:val="28"/>
          <w:szCs w:val="28"/>
          <w:lang w:val="el-GR"/>
        </w:rPr>
      </w:pPr>
      <w:r w:rsidRPr="00FA56E1">
        <w:rPr>
          <w:rFonts w:ascii="Ping LCG Regular" w:hAnsi="Ping LCG Regular" w:cstheme="minorHAnsi"/>
          <w:b/>
          <w:bCs/>
          <w:sz w:val="28"/>
          <w:szCs w:val="28"/>
          <w:lang w:val="el-GR"/>
        </w:rPr>
        <w:t xml:space="preserve">Ισχυρά </w:t>
      </w:r>
      <w:r w:rsidR="009C711F" w:rsidRPr="00FA56E1">
        <w:rPr>
          <w:rFonts w:ascii="Ping LCG Regular" w:hAnsi="Ping LCG Regular" w:cstheme="minorHAnsi"/>
          <w:b/>
          <w:bCs/>
          <w:sz w:val="28"/>
          <w:szCs w:val="28"/>
          <w:lang w:val="el-GR"/>
        </w:rPr>
        <w:t xml:space="preserve">αποτελέσματα </w:t>
      </w:r>
      <w:r w:rsidR="002E3B67" w:rsidRPr="00FA56E1">
        <w:rPr>
          <w:rFonts w:ascii="Ping LCG Regular" w:hAnsi="Ping LCG Regular" w:cstheme="minorHAnsi"/>
          <w:b/>
          <w:bCs/>
          <w:sz w:val="28"/>
          <w:szCs w:val="28"/>
          <w:lang w:val="el-GR"/>
        </w:rPr>
        <w:t>με</w:t>
      </w:r>
      <w:r w:rsidR="004A1F28" w:rsidRPr="00FA56E1">
        <w:rPr>
          <w:rFonts w:ascii="Ping LCG Regular" w:hAnsi="Ping LCG Regular" w:cstheme="minorHAnsi"/>
          <w:b/>
          <w:bCs/>
          <w:sz w:val="28"/>
          <w:szCs w:val="28"/>
          <w:lang w:val="el-GR"/>
        </w:rPr>
        <w:t xml:space="preserve"> </w:t>
      </w:r>
      <w:r w:rsidR="002E3B67" w:rsidRPr="00FA56E1">
        <w:rPr>
          <w:rFonts w:ascii="Ping LCG Regular" w:hAnsi="Ping LCG Regular" w:cstheme="minorHAnsi"/>
          <w:b/>
          <w:bCs/>
          <w:sz w:val="28"/>
          <w:szCs w:val="28"/>
          <w:lang w:val="el-GR"/>
        </w:rPr>
        <w:t>π</w:t>
      </w:r>
      <w:r w:rsidR="00D4545D" w:rsidRPr="00FA56E1">
        <w:rPr>
          <w:rFonts w:ascii="Ping LCG Regular" w:hAnsi="Ping LCG Regular" w:cstheme="minorHAnsi"/>
          <w:b/>
          <w:bCs/>
          <w:sz w:val="28"/>
          <w:szCs w:val="28"/>
          <w:lang w:val="el-GR"/>
        </w:rPr>
        <w:t>ροσαρμοσμένο</w:t>
      </w:r>
      <w:r w:rsidR="009C711F" w:rsidRPr="00FA56E1">
        <w:rPr>
          <w:rFonts w:ascii="Ping LCG Regular" w:hAnsi="Ping LCG Regular" w:cstheme="minorHAnsi"/>
          <w:b/>
          <w:bCs/>
          <w:sz w:val="28"/>
          <w:szCs w:val="28"/>
          <w:lang w:val="el-GR"/>
        </w:rPr>
        <w:t xml:space="preserve"> EBITDA στα </w:t>
      </w:r>
    </w:p>
    <w:p w14:paraId="3C321EFA" w14:textId="2C8E7250" w:rsidR="00EE545A" w:rsidRPr="00FA56E1" w:rsidRDefault="009C711F" w:rsidP="00EE545A">
      <w:pPr>
        <w:jc w:val="center"/>
        <w:rPr>
          <w:rFonts w:ascii="Ping LCG Regular" w:hAnsi="Ping LCG Regular" w:cstheme="minorHAnsi"/>
          <w:b/>
          <w:bCs/>
          <w:sz w:val="28"/>
          <w:szCs w:val="28"/>
          <w:lang w:val="el-GR"/>
        </w:rPr>
      </w:pPr>
      <w:r w:rsidRPr="00FA56E1">
        <w:rPr>
          <w:rFonts w:ascii="Ping LCG Regular" w:hAnsi="Ping LCG Regular" w:cstheme="minorHAnsi"/>
          <w:b/>
          <w:bCs/>
          <w:sz w:val="28"/>
          <w:szCs w:val="28"/>
          <w:lang w:val="el-GR"/>
        </w:rPr>
        <w:t>€</w:t>
      </w:r>
      <w:r w:rsidR="002B6972" w:rsidRPr="00FA56E1">
        <w:rPr>
          <w:rFonts w:ascii="Ping LCG Regular" w:hAnsi="Ping LCG Regular" w:cstheme="minorHAnsi"/>
          <w:b/>
          <w:bCs/>
          <w:sz w:val="28"/>
          <w:szCs w:val="28"/>
          <w:lang w:val="el-GR"/>
        </w:rPr>
        <w:t>1</w:t>
      </w:r>
      <w:r w:rsidR="00AD7065" w:rsidRPr="00FA56E1">
        <w:rPr>
          <w:rFonts w:ascii="Ping LCG Regular" w:hAnsi="Ping LCG Regular" w:cstheme="minorHAnsi"/>
          <w:b/>
          <w:bCs/>
          <w:sz w:val="28"/>
          <w:szCs w:val="28"/>
          <w:lang w:val="el-GR"/>
        </w:rPr>
        <w:t>,</w:t>
      </w:r>
      <w:r w:rsidR="007749BF" w:rsidRPr="00FA56E1">
        <w:rPr>
          <w:rFonts w:ascii="Ping LCG Regular" w:hAnsi="Ping LCG Regular" w:cstheme="minorHAnsi"/>
          <w:b/>
          <w:bCs/>
          <w:sz w:val="28"/>
          <w:szCs w:val="28"/>
          <w:lang w:val="el-GR"/>
        </w:rPr>
        <w:t>8</w:t>
      </w:r>
      <w:r w:rsidR="00721B6A" w:rsidRPr="00FA56E1">
        <w:rPr>
          <w:rFonts w:ascii="Ping LCG Regular" w:hAnsi="Ping LCG Regular" w:cstheme="minorHAnsi"/>
          <w:b/>
          <w:bCs/>
          <w:sz w:val="28"/>
          <w:szCs w:val="28"/>
          <w:lang w:val="el-GR"/>
        </w:rPr>
        <w:t xml:space="preserve"> </w:t>
      </w:r>
      <w:r w:rsidR="00C51BE6" w:rsidRPr="00FA56E1">
        <w:rPr>
          <w:rFonts w:ascii="Ping LCG Regular" w:hAnsi="Ping LCG Regular" w:cstheme="minorHAnsi"/>
          <w:b/>
          <w:bCs/>
          <w:sz w:val="28"/>
          <w:szCs w:val="28"/>
          <w:lang w:val="el-GR"/>
        </w:rPr>
        <w:t>δισ</w:t>
      </w:r>
      <w:r w:rsidRPr="00FA56E1">
        <w:rPr>
          <w:rFonts w:ascii="Ping LCG Regular" w:hAnsi="Ping LCG Regular" w:cstheme="minorHAnsi"/>
          <w:b/>
          <w:bCs/>
          <w:sz w:val="28"/>
          <w:szCs w:val="28"/>
          <w:lang w:val="el-GR"/>
        </w:rPr>
        <w:t>.</w:t>
      </w:r>
      <w:r w:rsidR="004A1F28" w:rsidRPr="00FA56E1">
        <w:rPr>
          <w:rFonts w:ascii="Ping LCG Regular" w:hAnsi="Ping LCG Regular" w:cstheme="minorHAnsi"/>
          <w:b/>
          <w:bCs/>
          <w:sz w:val="28"/>
          <w:szCs w:val="28"/>
          <w:lang w:val="el-GR"/>
        </w:rPr>
        <w:t xml:space="preserve"> για το 2024</w:t>
      </w:r>
      <w:r w:rsidR="00E11E9A" w:rsidRPr="00FA56E1">
        <w:rPr>
          <w:rFonts w:ascii="Ping LCG Regular" w:hAnsi="Ping LCG Regular" w:cstheme="minorHAnsi"/>
          <w:b/>
          <w:bCs/>
          <w:sz w:val="28"/>
          <w:szCs w:val="28"/>
          <w:lang w:val="el-GR"/>
        </w:rPr>
        <w:t xml:space="preserve"> </w:t>
      </w:r>
      <w:r w:rsidR="00EE545A" w:rsidRPr="00FA56E1">
        <w:rPr>
          <w:rFonts w:ascii="Ping LCG Regular" w:hAnsi="Ping LCG Regular" w:cstheme="minorHAnsi"/>
          <w:b/>
          <w:bCs/>
          <w:sz w:val="28"/>
          <w:szCs w:val="28"/>
          <w:lang w:val="el-GR"/>
        </w:rPr>
        <w:t xml:space="preserve">με </w:t>
      </w:r>
      <w:r w:rsidR="00085F3C" w:rsidRPr="00FA56E1">
        <w:rPr>
          <w:rFonts w:ascii="Ping LCG Regular" w:hAnsi="Ping LCG Regular" w:cstheme="minorHAnsi"/>
          <w:b/>
          <w:bCs/>
          <w:sz w:val="28"/>
          <w:szCs w:val="28"/>
          <w:lang w:val="el-GR"/>
        </w:rPr>
        <w:t>διανομή</w:t>
      </w:r>
      <w:r w:rsidR="00EE545A" w:rsidRPr="00FA56E1">
        <w:rPr>
          <w:rFonts w:ascii="Ping LCG Regular" w:hAnsi="Ping LCG Regular" w:cstheme="minorHAnsi"/>
          <w:b/>
          <w:bCs/>
          <w:sz w:val="28"/>
          <w:szCs w:val="28"/>
          <w:lang w:val="el-GR"/>
        </w:rPr>
        <w:t xml:space="preserve"> μερίσματος €0,</w:t>
      </w:r>
      <w:r w:rsidR="0083119A" w:rsidRPr="00FA56E1">
        <w:rPr>
          <w:rFonts w:ascii="Ping LCG Regular" w:hAnsi="Ping LCG Regular" w:cstheme="minorHAnsi"/>
          <w:b/>
          <w:bCs/>
          <w:sz w:val="28"/>
          <w:szCs w:val="28"/>
          <w:lang w:val="el-GR"/>
        </w:rPr>
        <w:t>40</w:t>
      </w:r>
      <w:r w:rsidR="00EE545A" w:rsidRPr="00FA56E1">
        <w:rPr>
          <w:rFonts w:ascii="Ping LCG Regular" w:hAnsi="Ping LCG Regular" w:cstheme="minorHAnsi"/>
          <w:b/>
          <w:bCs/>
          <w:sz w:val="28"/>
          <w:szCs w:val="28"/>
          <w:lang w:val="el-GR"/>
        </w:rPr>
        <w:t>/μετοχή</w:t>
      </w:r>
    </w:p>
    <w:p w14:paraId="06F61141" w14:textId="77777777" w:rsidR="002E3B67" w:rsidRPr="00FA56E1" w:rsidRDefault="002E3B67" w:rsidP="003432BC">
      <w:pPr>
        <w:rPr>
          <w:rFonts w:ascii="Ping LCG Regular" w:hAnsi="Ping LCG Regular"/>
          <w:b/>
          <w:bCs/>
          <w:sz w:val="28"/>
          <w:szCs w:val="28"/>
          <w:lang w:val="el-GR"/>
        </w:rPr>
      </w:pPr>
    </w:p>
    <w:p w14:paraId="5253512A" w14:textId="7D541D3E" w:rsidR="00797FE5" w:rsidRPr="00081E12" w:rsidRDefault="00797FE5" w:rsidP="00797FE5">
      <w:pPr>
        <w:pStyle w:val="ListParagraph"/>
        <w:numPr>
          <w:ilvl w:val="0"/>
          <w:numId w:val="4"/>
        </w:numPr>
        <w:spacing w:line="320" w:lineRule="atLeast"/>
        <w:ind w:left="357" w:hanging="215"/>
        <w:jc w:val="both"/>
        <w:rPr>
          <w:rFonts w:ascii="Ping LCG Regular" w:hAnsi="Ping LCG Regular"/>
          <w:i/>
          <w:iCs/>
          <w:sz w:val="22"/>
          <w:szCs w:val="22"/>
          <w:lang w:val="el-GR"/>
        </w:rPr>
      </w:pPr>
      <w:r w:rsidRPr="00081E12">
        <w:rPr>
          <w:rFonts w:ascii="Ping LCG Regular" w:hAnsi="Ping LCG Regular"/>
          <w:i/>
          <w:iCs/>
          <w:sz w:val="22"/>
          <w:szCs w:val="22"/>
          <w:lang w:val="el-GR"/>
        </w:rPr>
        <w:t>Επενδύσεις €</w:t>
      </w:r>
      <w:r w:rsidR="00332E6B" w:rsidRPr="00AF1D44">
        <w:rPr>
          <w:rFonts w:ascii="Ping LCG Regular" w:hAnsi="Ping LCG Regular"/>
          <w:i/>
          <w:iCs/>
          <w:sz w:val="22"/>
          <w:szCs w:val="22"/>
          <w:lang w:val="el-GR"/>
        </w:rPr>
        <w:t>3</w:t>
      </w:r>
      <w:r w:rsidRPr="00081E12">
        <w:rPr>
          <w:rFonts w:ascii="Ping LCG Regular" w:hAnsi="Ping LCG Regular"/>
          <w:i/>
          <w:iCs/>
          <w:sz w:val="22"/>
          <w:szCs w:val="22"/>
          <w:lang w:val="el-GR"/>
        </w:rPr>
        <w:t xml:space="preserve"> δισ</w:t>
      </w:r>
      <w:r w:rsidR="00694584" w:rsidRPr="00200B6F">
        <w:rPr>
          <w:rFonts w:ascii="Ping LCG Regular" w:hAnsi="Ping LCG Regular"/>
          <w:i/>
          <w:iCs/>
          <w:sz w:val="22"/>
          <w:szCs w:val="22"/>
          <w:lang w:val="el-GR"/>
        </w:rPr>
        <w:t>.</w:t>
      </w:r>
      <w:r w:rsidRPr="00081E12">
        <w:rPr>
          <w:rFonts w:ascii="Ping LCG Regular" w:hAnsi="Ping LCG Regular"/>
          <w:i/>
          <w:iCs/>
          <w:sz w:val="22"/>
          <w:szCs w:val="22"/>
          <w:lang w:val="el-GR"/>
        </w:rPr>
        <w:t xml:space="preserve"> με </w:t>
      </w:r>
      <w:r w:rsidR="009A1832" w:rsidRPr="00081E12">
        <w:rPr>
          <w:rFonts w:ascii="Ping LCG Regular" w:hAnsi="Ping LCG Regular"/>
          <w:i/>
          <w:iCs/>
          <w:sz w:val="22"/>
          <w:szCs w:val="22"/>
          <w:lang w:val="el-GR"/>
        </w:rPr>
        <w:t>85</w:t>
      </w:r>
      <w:r w:rsidRPr="00081E12">
        <w:rPr>
          <w:rFonts w:ascii="Ping LCG Regular" w:hAnsi="Ping LCG Regular"/>
          <w:i/>
          <w:iCs/>
          <w:sz w:val="22"/>
          <w:szCs w:val="22"/>
          <w:lang w:val="el-GR"/>
        </w:rPr>
        <w:t xml:space="preserve">% </w:t>
      </w:r>
      <w:r w:rsidR="003B3E7A">
        <w:rPr>
          <w:rFonts w:ascii="Ping LCG Regular" w:hAnsi="Ping LCG Regular"/>
          <w:i/>
          <w:iCs/>
          <w:sz w:val="22"/>
          <w:szCs w:val="22"/>
          <w:lang w:val="el-GR"/>
        </w:rPr>
        <w:t>αυτώ</w:t>
      </w:r>
      <w:r w:rsidRPr="00081E12">
        <w:rPr>
          <w:rFonts w:ascii="Ping LCG Regular" w:hAnsi="Ping LCG Regular"/>
          <w:i/>
          <w:iCs/>
          <w:sz w:val="22"/>
          <w:szCs w:val="22"/>
          <w:lang w:val="el-GR"/>
        </w:rPr>
        <w:t xml:space="preserve">ν </w:t>
      </w:r>
      <w:r w:rsidR="00C4739B" w:rsidRPr="00081E12">
        <w:rPr>
          <w:rFonts w:ascii="Ping LCG Regular" w:hAnsi="Ping LCG Regular"/>
          <w:i/>
          <w:iCs/>
          <w:sz w:val="22"/>
          <w:szCs w:val="22"/>
          <w:lang w:val="el-GR"/>
        </w:rPr>
        <w:t>σε</w:t>
      </w:r>
      <w:r w:rsidR="00011963" w:rsidRPr="00081E12">
        <w:rPr>
          <w:rFonts w:ascii="Ping LCG Regular" w:hAnsi="Ping LCG Regular"/>
          <w:i/>
          <w:iCs/>
          <w:sz w:val="22"/>
          <w:szCs w:val="22"/>
          <w:lang w:val="el-GR"/>
        </w:rPr>
        <w:t xml:space="preserve"> </w:t>
      </w:r>
      <w:r w:rsidRPr="00081E12">
        <w:rPr>
          <w:rFonts w:ascii="Ping LCG Regular" w:hAnsi="Ping LCG Regular"/>
          <w:i/>
          <w:iCs/>
          <w:sz w:val="22"/>
          <w:szCs w:val="22"/>
          <w:lang w:val="el-GR"/>
        </w:rPr>
        <w:t>ΑΠΕ, ευέλικτη παραγωγή</w:t>
      </w:r>
      <w:r w:rsidR="00735736" w:rsidRPr="00081E12">
        <w:rPr>
          <w:rFonts w:ascii="Ping LCG Regular" w:hAnsi="Ping LCG Regular"/>
          <w:i/>
          <w:iCs/>
          <w:sz w:val="22"/>
          <w:szCs w:val="22"/>
          <w:lang w:val="el-GR"/>
        </w:rPr>
        <w:t xml:space="preserve"> και </w:t>
      </w:r>
      <w:r w:rsidRPr="00081E12">
        <w:rPr>
          <w:rFonts w:ascii="Ping LCG Regular" w:hAnsi="Ping LCG Regular"/>
          <w:i/>
          <w:iCs/>
          <w:sz w:val="22"/>
          <w:szCs w:val="22"/>
          <w:lang w:val="el-GR"/>
        </w:rPr>
        <w:t xml:space="preserve">Διανομή </w:t>
      </w:r>
      <w:r w:rsidR="00011963" w:rsidRPr="00081E12">
        <w:rPr>
          <w:rFonts w:ascii="Ping LCG Regular" w:hAnsi="Ping LCG Regular"/>
          <w:i/>
          <w:iCs/>
          <w:sz w:val="22"/>
          <w:szCs w:val="22"/>
          <w:lang w:val="el-GR"/>
        </w:rPr>
        <w:t xml:space="preserve"> </w:t>
      </w:r>
    </w:p>
    <w:p w14:paraId="7EA107C9" w14:textId="04BD854D" w:rsidR="00DB0BC6" w:rsidRPr="00FA56E1" w:rsidRDefault="00DB0BC6" w:rsidP="00C4024F">
      <w:pPr>
        <w:pStyle w:val="ListParagraph"/>
        <w:numPr>
          <w:ilvl w:val="0"/>
          <w:numId w:val="4"/>
        </w:numPr>
        <w:spacing w:line="320" w:lineRule="atLeast"/>
        <w:ind w:left="357" w:hanging="215"/>
        <w:jc w:val="both"/>
        <w:rPr>
          <w:rFonts w:ascii="Ping LCG Regular" w:hAnsi="Ping LCG Regular"/>
          <w:i/>
          <w:iCs/>
          <w:sz w:val="22"/>
          <w:szCs w:val="22"/>
          <w:lang w:val="el-GR"/>
        </w:rPr>
      </w:pPr>
      <w:r w:rsidRPr="00FA56E1">
        <w:rPr>
          <w:rFonts w:ascii="Ping LCG Regular" w:hAnsi="Ping LCG Regular"/>
          <w:i/>
          <w:iCs/>
          <w:sz w:val="22"/>
          <w:szCs w:val="22"/>
          <w:lang w:val="el-GR"/>
        </w:rPr>
        <w:t xml:space="preserve">Αύξηση ισχύος ΑΠΕ </w:t>
      </w:r>
      <w:r w:rsidR="00B345E8">
        <w:rPr>
          <w:rFonts w:ascii="Ping LCG Regular" w:hAnsi="Ping LCG Regular"/>
          <w:i/>
          <w:iCs/>
          <w:sz w:val="22"/>
          <w:szCs w:val="22"/>
          <w:lang w:val="el-GR"/>
        </w:rPr>
        <w:t>στα</w:t>
      </w:r>
      <w:r w:rsidR="00B345E8" w:rsidRPr="00FA56E1">
        <w:rPr>
          <w:rFonts w:ascii="Ping LCG Regular" w:hAnsi="Ping LCG Regular"/>
          <w:i/>
          <w:iCs/>
          <w:sz w:val="22"/>
          <w:szCs w:val="22"/>
          <w:lang w:val="el-GR"/>
        </w:rPr>
        <w:t xml:space="preserve"> </w:t>
      </w:r>
      <w:r w:rsidRPr="00FA56E1">
        <w:rPr>
          <w:rFonts w:ascii="Ping LCG Regular" w:hAnsi="Ping LCG Regular"/>
          <w:i/>
          <w:iCs/>
          <w:sz w:val="22"/>
          <w:szCs w:val="22"/>
          <w:lang w:val="el-GR"/>
        </w:rPr>
        <w:t>6,2</w:t>
      </w:r>
      <w:r w:rsidRPr="00FA56E1">
        <w:rPr>
          <w:rFonts w:ascii="Ping LCG Regular" w:hAnsi="Ping LCG Regular"/>
          <w:i/>
          <w:iCs/>
          <w:sz w:val="22"/>
          <w:szCs w:val="22"/>
        </w:rPr>
        <w:t>GW</w:t>
      </w:r>
      <w:r w:rsidRPr="00FA56E1">
        <w:rPr>
          <w:rFonts w:ascii="Ping LCG Regular" w:hAnsi="Ping LCG Regular"/>
          <w:i/>
          <w:iCs/>
          <w:sz w:val="22"/>
          <w:szCs w:val="22"/>
          <w:lang w:val="el-GR"/>
        </w:rPr>
        <w:t xml:space="preserve"> σήμερα </w:t>
      </w:r>
      <w:r w:rsidR="00296E5D" w:rsidRPr="00FA56E1">
        <w:rPr>
          <w:rFonts w:ascii="Ping LCG Regular" w:hAnsi="Ping LCG Regular"/>
          <w:i/>
          <w:iCs/>
          <w:sz w:val="22"/>
          <w:szCs w:val="22"/>
          <w:lang w:val="el-GR"/>
        </w:rPr>
        <w:t xml:space="preserve">με </w:t>
      </w:r>
      <w:r w:rsidR="00F619AF" w:rsidRPr="00FA56E1">
        <w:rPr>
          <w:rFonts w:ascii="Ping LCG Regular" w:hAnsi="Ping LCG Regular"/>
          <w:i/>
          <w:iCs/>
          <w:sz w:val="22"/>
          <w:szCs w:val="22"/>
          <w:lang w:val="el-GR"/>
        </w:rPr>
        <w:t>3,</w:t>
      </w:r>
      <w:r w:rsidR="00740293" w:rsidRPr="00FA56E1">
        <w:rPr>
          <w:rFonts w:ascii="Ping LCG Regular" w:hAnsi="Ping LCG Regular"/>
          <w:i/>
          <w:iCs/>
          <w:sz w:val="22"/>
          <w:szCs w:val="22"/>
          <w:lang w:val="el-GR"/>
        </w:rPr>
        <w:t>7</w:t>
      </w:r>
      <w:r w:rsidR="00F619AF" w:rsidRPr="00FA56E1">
        <w:rPr>
          <w:rFonts w:ascii="Ping LCG Regular" w:hAnsi="Ping LCG Regular"/>
          <w:i/>
          <w:iCs/>
          <w:sz w:val="22"/>
          <w:szCs w:val="22"/>
        </w:rPr>
        <w:t>GW</w:t>
      </w:r>
      <w:r w:rsidR="00F619AF" w:rsidRPr="00FA56E1">
        <w:rPr>
          <w:rFonts w:ascii="Ping LCG Regular" w:hAnsi="Ping LCG Regular"/>
          <w:i/>
          <w:iCs/>
          <w:sz w:val="22"/>
          <w:szCs w:val="22"/>
          <w:lang w:val="el-GR"/>
        </w:rPr>
        <w:t xml:space="preserve"> </w:t>
      </w:r>
      <w:r w:rsidR="00D11CE1" w:rsidRPr="00FA56E1">
        <w:rPr>
          <w:rFonts w:ascii="Ping LCG Regular" w:hAnsi="Ping LCG Regular"/>
          <w:i/>
          <w:iCs/>
          <w:sz w:val="22"/>
          <w:szCs w:val="22"/>
          <w:lang w:val="el-GR"/>
        </w:rPr>
        <w:t>υπό κατασκευή ή έτοιμα προς κατασκευή</w:t>
      </w:r>
    </w:p>
    <w:p w14:paraId="4B28F84C" w14:textId="20D754C4" w:rsidR="00656A80" w:rsidRPr="00FA56E1" w:rsidRDefault="00384536" w:rsidP="00EE3130">
      <w:pPr>
        <w:pStyle w:val="ListParagraph"/>
        <w:numPr>
          <w:ilvl w:val="0"/>
          <w:numId w:val="4"/>
        </w:numPr>
        <w:spacing w:line="320" w:lineRule="atLeast"/>
        <w:ind w:left="357" w:hanging="215"/>
        <w:jc w:val="both"/>
        <w:rPr>
          <w:rFonts w:ascii="Ping LCG Regular" w:hAnsi="Ping LCG Regular"/>
          <w:i/>
          <w:iCs/>
          <w:sz w:val="22"/>
          <w:szCs w:val="22"/>
          <w:lang w:val="el-GR"/>
        </w:rPr>
      </w:pPr>
      <w:r w:rsidRPr="00FA56E1">
        <w:rPr>
          <w:rFonts w:ascii="Ping LCG Regular" w:hAnsi="Ping LCG Regular"/>
          <w:i/>
          <w:iCs/>
          <w:sz w:val="22"/>
          <w:szCs w:val="22"/>
          <w:lang w:val="el-GR"/>
        </w:rPr>
        <w:t>Παραγωγή</w:t>
      </w:r>
      <w:r w:rsidR="005A0555" w:rsidRPr="00FA56E1">
        <w:rPr>
          <w:rFonts w:ascii="Ping LCG Regular" w:hAnsi="Ping LCG Regular"/>
          <w:i/>
          <w:iCs/>
          <w:sz w:val="22"/>
          <w:szCs w:val="22"/>
          <w:lang w:val="el-GR"/>
        </w:rPr>
        <w:t xml:space="preserve"> από ΑΠΕ στο 29%</w:t>
      </w:r>
      <w:r w:rsidR="00263A5C" w:rsidRPr="00FA56E1">
        <w:rPr>
          <w:rFonts w:ascii="Ping LCG Regular" w:hAnsi="Ping LCG Regular"/>
          <w:i/>
          <w:iCs/>
          <w:sz w:val="22"/>
          <w:szCs w:val="22"/>
          <w:lang w:val="el-GR"/>
        </w:rPr>
        <w:t xml:space="preserve"> του συνολικού ενεργειακού μείγματος της ΔΕΗ,</w:t>
      </w:r>
      <w:r w:rsidR="00EE3130" w:rsidRPr="00FA56E1">
        <w:rPr>
          <w:rFonts w:ascii="Ping LCG Regular" w:hAnsi="Ping LCG Regular"/>
          <w:i/>
          <w:iCs/>
          <w:sz w:val="22"/>
          <w:szCs w:val="22"/>
          <w:lang w:val="el-GR"/>
        </w:rPr>
        <w:t xml:space="preserve"> με παράλληλη μ</w:t>
      </w:r>
      <w:r w:rsidR="008E7A2B" w:rsidRPr="00FA56E1">
        <w:rPr>
          <w:rFonts w:ascii="Ping LCG Regular" w:hAnsi="Ping LCG Regular"/>
          <w:i/>
          <w:iCs/>
          <w:sz w:val="22"/>
          <w:szCs w:val="22"/>
          <w:lang w:val="el-GR"/>
        </w:rPr>
        <w:t xml:space="preserve">είωση της </w:t>
      </w:r>
      <w:proofErr w:type="spellStart"/>
      <w:r w:rsidR="008E7A2B" w:rsidRPr="00FA56E1">
        <w:rPr>
          <w:rFonts w:ascii="Ping LCG Regular" w:hAnsi="Ping LCG Regular"/>
          <w:i/>
          <w:iCs/>
          <w:sz w:val="22"/>
          <w:szCs w:val="22"/>
          <w:lang w:val="el-GR"/>
        </w:rPr>
        <w:t>λιγνιτικής</w:t>
      </w:r>
      <w:proofErr w:type="spellEnd"/>
      <w:r w:rsidR="008E7A2B" w:rsidRPr="00FA56E1">
        <w:rPr>
          <w:rFonts w:ascii="Ping LCG Regular" w:hAnsi="Ping LCG Regular"/>
          <w:i/>
          <w:iCs/>
          <w:sz w:val="22"/>
          <w:szCs w:val="22"/>
          <w:lang w:val="el-GR"/>
        </w:rPr>
        <w:t xml:space="preserve"> παραγωγής στο 15% </w:t>
      </w:r>
      <w:r w:rsidR="005A0555" w:rsidRPr="00FA56E1">
        <w:rPr>
          <w:rFonts w:ascii="Ping LCG Regular" w:hAnsi="Ping LCG Regular"/>
          <w:i/>
          <w:iCs/>
          <w:sz w:val="22"/>
          <w:szCs w:val="22"/>
          <w:lang w:val="el-GR"/>
        </w:rPr>
        <w:t>με στόχο την πλήρη έξοδο από το</w:t>
      </w:r>
      <w:r w:rsidR="000817FA">
        <w:rPr>
          <w:rFonts w:ascii="Ping LCG Regular" w:hAnsi="Ping LCG Regular"/>
          <w:i/>
          <w:iCs/>
          <w:sz w:val="22"/>
          <w:szCs w:val="22"/>
          <w:lang w:val="el-GR"/>
        </w:rPr>
        <w:t>ν</w:t>
      </w:r>
      <w:r w:rsidR="005A0555" w:rsidRPr="00FA56E1">
        <w:rPr>
          <w:rFonts w:ascii="Ping LCG Regular" w:hAnsi="Ping LCG Regular"/>
          <w:i/>
          <w:iCs/>
          <w:sz w:val="22"/>
          <w:szCs w:val="22"/>
          <w:lang w:val="el-GR"/>
        </w:rPr>
        <w:t xml:space="preserve"> λιγνίτη το 2026</w:t>
      </w:r>
    </w:p>
    <w:p w14:paraId="24B484C9" w14:textId="75AF9EB4" w:rsidR="00C200C9" w:rsidRPr="000A26D2" w:rsidRDefault="00C200C9" w:rsidP="00EE3130">
      <w:pPr>
        <w:pStyle w:val="ListParagraph"/>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 xml:space="preserve">Αύξηση της </w:t>
      </w:r>
      <w:r w:rsidR="001003FC">
        <w:rPr>
          <w:rFonts w:ascii="Ping LCG Regular" w:hAnsi="Ping LCG Regular"/>
          <w:i/>
          <w:iCs/>
          <w:sz w:val="22"/>
          <w:szCs w:val="22"/>
          <w:lang w:val="el-GR"/>
        </w:rPr>
        <w:t xml:space="preserve">συνολικής </w:t>
      </w:r>
      <w:r>
        <w:rPr>
          <w:rFonts w:ascii="Ping LCG Regular" w:hAnsi="Ping LCG Regular"/>
          <w:i/>
          <w:iCs/>
          <w:sz w:val="22"/>
          <w:szCs w:val="22"/>
          <w:lang w:val="el-GR"/>
        </w:rPr>
        <w:t xml:space="preserve">Ρυθμιζόμενης Περιουσιακής Βάσης </w:t>
      </w:r>
      <w:r w:rsidR="009307A1">
        <w:rPr>
          <w:rFonts w:ascii="Ping LCG Regular" w:hAnsi="Ping LCG Regular"/>
          <w:i/>
          <w:iCs/>
          <w:sz w:val="22"/>
          <w:szCs w:val="22"/>
          <w:lang w:val="el-GR"/>
        </w:rPr>
        <w:t xml:space="preserve">στη </w:t>
      </w:r>
      <w:r w:rsidR="001003FC">
        <w:rPr>
          <w:rFonts w:ascii="Ping LCG Regular" w:hAnsi="Ping LCG Regular"/>
          <w:i/>
          <w:iCs/>
          <w:sz w:val="22"/>
          <w:szCs w:val="22"/>
          <w:lang w:val="el-GR"/>
        </w:rPr>
        <w:t xml:space="preserve">δραστηριότητα της </w:t>
      </w:r>
      <w:r w:rsidR="009307A1">
        <w:rPr>
          <w:rFonts w:ascii="Ping LCG Regular" w:hAnsi="Ping LCG Regular"/>
          <w:i/>
          <w:iCs/>
          <w:sz w:val="22"/>
          <w:szCs w:val="22"/>
          <w:lang w:val="el-GR"/>
        </w:rPr>
        <w:t>Διανομή</w:t>
      </w:r>
      <w:r w:rsidR="001003FC">
        <w:rPr>
          <w:rFonts w:ascii="Ping LCG Regular" w:hAnsi="Ping LCG Regular"/>
          <w:i/>
          <w:iCs/>
          <w:sz w:val="22"/>
          <w:szCs w:val="22"/>
          <w:lang w:val="el-GR"/>
        </w:rPr>
        <w:t>ς</w:t>
      </w:r>
      <w:r w:rsidR="009307A1">
        <w:rPr>
          <w:rFonts w:ascii="Ping LCG Regular" w:hAnsi="Ping LCG Regular"/>
          <w:i/>
          <w:iCs/>
          <w:sz w:val="22"/>
          <w:szCs w:val="22"/>
          <w:lang w:val="el-GR"/>
        </w:rPr>
        <w:t xml:space="preserve"> </w:t>
      </w:r>
      <w:r w:rsidR="001003FC">
        <w:rPr>
          <w:rFonts w:ascii="Ping LCG Regular" w:hAnsi="Ping LCG Regular"/>
          <w:i/>
          <w:iCs/>
          <w:sz w:val="22"/>
          <w:szCs w:val="22"/>
          <w:lang w:val="el-GR"/>
        </w:rPr>
        <w:t xml:space="preserve">στην Ελλάδα και τη Ρουμανία </w:t>
      </w:r>
      <w:r w:rsidR="00C02EAE">
        <w:rPr>
          <w:rFonts w:ascii="Ping LCG Regular" w:hAnsi="Ping LCG Regular"/>
          <w:i/>
          <w:iCs/>
          <w:sz w:val="22"/>
          <w:szCs w:val="22"/>
          <w:lang w:val="el-GR"/>
        </w:rPr>
        <w:t xml:space="preserve">στα </w:t>
      </w:r>
      <w:r w:rsidR="009307A1">
        <w:rPr>
          <w:rFonts w:ascii="Ping LCG Regular" w:hAnsi="Ping LCG Regular"/>
          <w:i/>
          <w:iCs/>
          <w:sz w:val="22"/>
          <w:szCs w:val="22"/>
          <w:lang w:val="el-GR"/>
        </w:rPr>
        <w:t>€4,9 δι</w:t>
      </w:r>
      <w:r w:rsidR="00413B8E">
        <w:rPr>
          <w:rFonts w:ascii="Ping LCG Regular" w:hAnsi="Ping LCG Regular"/>
          <w:i/>
          <w:iCs/>
          <w:sz w:val="22"/>
          <w:szCs w:val="22"/>
          <w:lang w:val="el-GR"/>
        </w:rPr>
        <w:t>σ.</w:t>
      </w:r>
      <w:r w:rsidR="001003FC">
        <w:rPr>
          <w:rFonts w:ascii="Ping LCG Regular" w:hAnsi="Ping LCG Regular"/>
          <w:i/>
          <w:iCs/>
          <w:sz w:val="22"/>
          <w:szCs w:val="22"/>
          <w:lang w:val="el-GR"/>
        </w:rPr>
        <w:t xml:space="preserve"> (</w:t>
      </w:r>
      <w:r w:rsidR="00C87DFE">
        <w:rPr>
          <w:rFonts w:ascii="Ping LCG Regular" w:hAnsi="Ping LCG Regular"/>
          <w:i/>
          <w:iCs/>
          <w:sz w:val="22"/>
          <w:szCs w:val="22"/>
          <w:lang w:val="el-GR"/>
        </w:rPr>
        <w:t>αύξηση κατά</w:t>
      </w:r>
      <w:r w:rsidR="001003FC">
        <w:rPr>
          <w:rFonts w:ascii="Ping LCG Regular" w:hAnsi="Ping LCG Regular"/>
          <w:i/>
          <w:iCs/>
          <w:sz w:val="22"/>
          <w:szCs w:val="22"/>
          <w:lang w:val="el-GR"/>
        </w:rPr>
        <w:t xml:space="preserve"> €0,6 δι</w:t>
      </w:r>
      <w:r w:rsidR="003119C1">
        <w:rPr>
          <w:rFonts w:ascii="Ping LCG Regular" w:hAnsi="Ping LCG Regular"/>
          <w:i/>
          <w:iCs/>
          <w:sz w:val="22"/>
          <w:szCs w:val="22"/>
          <w:lang w:val="el-GR"/>
        </w:rPr>
        <w:t>σ</w:t>
      </w:r>
      <w:r w:rsidR="00413B8E">
        <w:rPr>
          <w:rFonts w:ascii="Ping LCG Regular" w:hAnsi="Ping LCG Regular"/>
          <w:i/>
          <w:iCs/>
          <w:sz w:val="22"/>
          <w:szCs w:val="22"/>
          <w:lang w:val="el-GR"/>
        </w:rPr>
        <w:t>.</w:t>
      </w:r>
      <w:r w:rsidR="001003FC">
        <w:rPr>
          <w:rFonts w:ascii="Ping LCG Regular" w:hAnsi="Ping LCG Regular"/>
          <w:i/>
          <w:iCs/>
          <w:sz w:val="22"/>
          <w:szCs w:val="22"/>
          <w:lang w:val="el-GR"/>
        </w:rPr>
        <w:t>)</w:t>
      </w:r>
    </w:p>
    <w:p w14:paraId="103FC296" w14:textId="2356B9F3" w:rsidR="009557BC" w:rsidRDefault="005D2B30" w:rsidP="00EE3130">
      <w:pPr>
        <w:pStyle w:val="ListParagraph"/>
        <w:numPr>
          <w:ilvl w:val="0"/>
          <w:numId w:val="4"/>
        </w:numPr>
        <w:spacing w:line="320" w:lineRule="atLeast"/>
        <w:ind w:left="357" w:hanging="215"/>
        <w:jc w:val="both"/>
        <w:rPr>
          <w:rFonts w:ascii="Ping LCG Regular" w:hAnsi="Ping LCG Regular"/>
          <w:i/>
          <w:iCs/>
          <w:sz w:val="22"/>
          <w:szCs w:val="22"/>
          <w:lang w:val="el-GR"/>
        </w:rPr>
      </w:pPr>
      <w:r>
        <w:rPr>
          <w:rFonts w:ascii="Ping LCG Regular" w:hAnsi="Ping LCG Regular"/>
          <w:i/>
          <w:iCs/>
          <w:sz w:val="22"/>
          <w:szCs w:val="22"/>
          <w:lang w:val="el-GR"/>
        </w:rPr>
        <w:t xml:space="preserve">Αναγνώριση από </w:t>
      </w:r>
      <w:r w:rsidR="004308C4">
        <w:rPr>
          <w:rFonts w:ascii="Ping LCG Regular" w:hAnsi="Ping LCG Regular"/>
          <w:i/>
          <w:iCs/>
          <w:sz w:val="22"/>
          <w:szCs w:val="22"/>
          <w:lang w:val="el-GR"/>
        </w:rPr>
        <w:t>διεθνείς οίκους αξιολόγησης</w:t>
      </w:r>
      <w:r w:rsidRPr="005D2B30">
        <w:rPr>
          <w:rFonts w:ascii="Ping LCG Regular" w:hAnsi="Ping LCG Regular"/>
          <w:i/>
          <w:iCs/>
          <w:sz w:val="22"/>
          <w:szCs w:val="22"/>
          <w:lang w:val="el-GR"/>
        </w:rPr>
        <w:t xml:space="preserve"> </w:t>
      </w:r>
      <w:r>
        <w:rPr>
          <w:rFonts w:ascii="Ping LCG Regular" w:hAnsi="Ping LCG Regular"/>
          <w:i/>
          <w:iCs/>
          <w:sz w:val="22"/>
          <w:szCs w:val="22"/>
          <w:lang w:val="el-GR"/>
        </w:rPr>
        <w:t xml:space="preserve">της </w:t>
      </w:r>
      <w:r w:rsidR="006B7020">
        <w:rPr>
          <w:rFonts w:ascii="Ping LCG Regular" w:hAnsi="Ping LCG Regular"/>
          <w:i/>
          <w:iCs/>
          <w:sz w:val="22"/>
          <w:szCs w:val="22"/>
          <w:lang w:val="el-GR"/>
        </w:rPr>
        <w:t>καλύτερης επίδοσης</w:t>
      </w:r>
      <w:r>
        <w:rPr>
          <w:rFonts w:ascii="Ping LCG Regular" w:hAnsi="Ping LCG Regular"/>
          <w:i/>
          <w:iCs/>
          <w:sz w:val="22"/>
          <w:szCs w:val="22"/>
          <w:lang w:val="el-GR"/>
        </w:rPr>
        <w:t xml:space="preserve"> σε θέματα </w:t>
      </w:r>
      <w:r w:rsidRPr="000A26D2">
        <w:rPr>
          <w:rFonts w:ascii="Ping LCG Regular" w:hAnsi="Ping LCG Regular"/>
          <w:i/>
          <w:iCs/>
          <w:sz w:val="22"/>
          <w:szCs w:val="22"/>
          <w:lang w:val="el-GR"/>
        </w:rPr>
        <w:t>ESG</w:t>
      </w:r>
      <w:r w:rsidR="00C86EF5">
        <w:rPr>
          <w:rFonts w:ascii="Ping LCG Regular" w:hAnsi="Ping LCG Regular"/>
          <w:i/>
          <w:iCs/>
          <w:sz w:val="22"/>
          <w:szCs w:val="22"/>
          <w:lang w:val="el-GR"/>
        </w:rPr>
        <w:t xml:space="preserve"> (Περιβάλλον, Κοινωνία, Διακυβέρνηση)</w:t>
      </w:r>
    </w:p>
    <w:p w14:paraId="5CC13B69" w14:textId="319A6544" w:rsidR="008E7A2B" w:rsidRDefault="008E7A2B" w:rsidP="008E7A2B">
      <w:pPr>
        <w:pStyle w:val="ListParagraph"/>
        <w:numPr>
          <w:ilvl w:val="0"/>
          <w:numId w:val="4"/>
        </w:numPr>
        <w:spacing w:line="320" w:lineRule="atLeast"/>
        <w:ind w:left="357" w:hanging="215"/>
        <w:jc w:val="both"/>
        <w:rPr>
          <w:rFonts w:ascii="Ping LCG Regular" w:hAnsi="Ping LCG Regular"/>
          <w:i/>
          <w:iCs/>
          <w:sz w:val="22"/>
          <w:szCs w:val="22"/>
          <w:lang w:val="el-GR"/>
        </w:rPr>
      </w:pPr>
      <w:r w:rsidRPr="006805AB">
        <w:rPr>
          <w:rFonts w:ascii="Ping LCG Regular" w:hAnsi="Ping LCG Regular"/>
          <w:i/>
          <w:iCs/>
          <w:sz w:val="22"/>
          <w:szCs w:val="22"/>
          <w:lang w:val="el-GR"/>
        </w:rPr>
        <w:t>Ισχυρή χρηματοοικονομική θέση παρά τις σημαντικές επενδύσεις με τον δείκτη Καθαρό Χρέος/</w:t>
      </w:r>
      <w:r w:rsidRPr="00A41FB0">
        <w:rPr>
          <w:rFonts w:ascii="Ping LCG Regular" w:hAnsi="Ping LCG Regular"/>
          <w:i/>
          <w:iCs/>
          <w:sz w:val="22"/>
          <w:szCs w:val="22"/>
          <w:lang w:val="el-GR"/>
        </w:rPr>
        <w:t>EBITDA</w:t>
      </w:r>
      <w:r w:rsidRPr="006805AB">
        <w:rPr>
          <w:rFonts w:ascii="Ping LCG Regular" w:hAnsi="Ping LCG Regular"/>
          <w:i/>
          <w:iCs/>
          <w:sz w:val="22"/>
          <w:szCs w:val="22"/>
          <w:lang w:val="el-GR"/>
        </w:rPr>
        <w:t xml:space="preserve"> στο 2,</w:t>
      </w:r>
      <w:r w:rsidR="006805AB" w:rsidRPr="006805AB">
        <w:rPr>
          <w:rFonts w:ascii="Ping LCG Regular" w:hAnsi="Ping LCG Regular"/>
          <w:i/>
          <w:iCs/>
          <w:sz w:val="22"/>
          <w:szCs w:val="22"/>
          <w:lang w:val="el-GR"/>
        </w:rPr>
        <w:t>8</w:t>
      </w:r>
      <w:r w:rsidRPr="00A41FB0">
        <w:rPr>
          <w:rFonts w:ascii="Ping LCG Regular" w:hAnsi="Ping LCG Regular"/>
          <w:i/>
          <w:iCs/>
          <w:sz w:val="22"/>
          <w:szCs w:val="22"/>
          <w:lang w:val="el-GR"/>
        </w:rPr>
        <w:t>x</w:t>
      </w:r>
      <w:r w:rsidRPr="006805AB">
        <w:rPr>
          <w:rFonts w:ascii="Ping LCG Regular" w:hAnsi="Ping LCG Regular"/>
          <w:i/>
          <w:iCs/>
          <w:sz w:val="22"/>
          <w:szCs w:val="22"/>
          <w:lang w:val="el-GR"/>
        </w:rPr>
        <w:t xml:space="preserve"> </w:t>
      </w:r>
    </w:p>
    <w:p w14:paraId="02EBCC0C" w14:textId="734B7FE2" w:rsidR="00EC05F6" w:rsidRDefault="00BC7839" w:rsidP="00EC05F6">
      <w:pPr>
        <w:pStyle w:val="ListParagraph"/>
        <w:numPr>
          <w:ilvl w:val="0"/>
          <w:numId w:val="4"/>
        </w:numPr>
        <w:spacing w:line="320" w:lineRule="atLeast"/>
        <w:ind w:left="357" w:hanging="215"/>
        <w:jc w:val="both"/>
        <w:rPr>
          <w:rFonts w:ascii="Ping LCG Regular" w:hAnsi="Ping LCG Regular"/>
          <w:i/>
          <w:iCs/>
          <w:sz w:val="22"/>
          <w:szCs w:val="22"/>
          <w:lang w:val="el-GR"/>
        </w:rPr>
      </w:pPr>
      <w:r w:rsidRPr="00EC05F6">
        <w:rPr>
          <w:rFonts w:ascii="Ping LCG Regular" w:hAnsi="Ping LCG Regular"/>
          <w:i/>
          <w:iCs/>
          <w:sz w:val="22"/>
          <w:szCs w:val="22"/>
          <w:lang w:val="el-GR"/>
        </w:rPr>
        <w:t xml:space="preserve">Πρόταση </w:t>
      </w:r>
      <w:r w:rsidR="005E0E7C" w:rsidRPr="00EC05F6">
        <w:rPr>
          <w:rFonts w:ascii="Ping LCG Regular" w:hAnsi="Ping LCG Regular"/>
          <w:i/>
          <w:iCs/>
          <w:sz w:val="22"/>
          <w:szCs w:val="22"/>
          <w:lang w:val="el-GR"/>
        </w:rPr>
        <w:t>για διανομή</w:t>
      </w:r>
      <w:r w:rsidRPr="00EC05F6">
        <w:rPr>
          <w:rFonts w:ascii="Ping LCG Regular" w:hAnsi="Ping LCG Regular"/>
          <w:i/>
          <w:iCs/>
          <w:sz w:val="22"/>
          <w:szCs w:val="22"/>
          <w:lang w:val="el-GR"/>
        </w:rPr>
        <w:t xml:space="preserve"> μερίσματος €0,</w:t>
      </w:r>
      <w:r w:rsidR="00854A06" w:rsidRPr="00EC05F6">
        <w:rPr>
          <w:rFonts w:ascii="Ping LCG Regular" w:hAnsi="Ping LCG Regular"/>
          <w:i/>
          <w:iCs/>
          <w:sz w:val="22"/>
          <w:szCs w:val="22"/>
          <w:lang w:val="el-GR"/>
        </w:rPr>
        <w:t>40</w:t>
      </w:r>
      <w:r w:rsidRPr="00EC05F6">
        <w:rPr>
          <w:rFonts w:ascii="Ping LCG Regular" w:hAnsi="Ping LCG Regular"/>
          <w:i/>
          <w:iCs/>
          <w:sz w:val="22"/>
          <w:szCs w:val="22"/>
          <w:lang w:val="el-GR"/>
        </w:rPr>
        <w:t>/μετοχή</w:t>
      </w:r>
      <w:r w:rsidR="00695D3C">
        <w:rPr>
          <w:rFonts w:ascii="Ping LCG Regular" w:hAnsi="Ping LCG Regular"/>
          <w:i/>
          <w:iCs/>
          <w:sz w:val="22"/>
          <w:szCs w:val="22"/>
          <w:lang w:val="el-GR"/>
        </w:rPr>
        <w:t xml:space="preserve">, </w:t>
      </w:r>
      <w:r w:rsidR="00F7103D">
        <w:rPr>
          <w:rFonts w:ascii="Ping LCG Regular" w:hAnsi="Ping LCG Regular"/>
          <w:i/>
          <w:iCs/>
          <w:sz w:val="22"/>
          <w:szCs w:val="22"/>
          <w:lang w:val="el-GR"/>
        </w:rPr>
        <w:t xml:space="preserve">αυξημένο κατά </w:t>
      </w:r>
      <w:r w:rsidR="00CF7215" w:rsidRPr="00CF7215">
        <w:rPr>
          <w:rFonts w:ascii="Ping LCG Regular" w:hAnsi="Ping LCG Regular"/>
          <w:i/>
          <w:iCs/>
          <w:sz w:val="22"/>
          <w:szCs w:val="22"/>
          <w:lang w:val="el-GR"/>
        </w:rPr>
        <w:t>60% σε σχέση με τ</w:t>
      </w:r>
      <w:r w:rsidR="00CF7215">
        <w:rPr>
          <w:rFonts w:ascii="Ping LCG Regular" w:hAnsi="Ping LCG Regular"/>
          <w:i/>
          <w:iCs/>
          <w:sz w:val="22"/>
          <w:szCs w:val="22"/>
          <w:lang w:val="el-GR"/>
        </w:rPr>
        <w:t>ην εταιρική χρήση του 2023</w:t>
      </w:r>
    </w:p>
    <w:p w14:paraId="09442F91" w14:textId="1C2650E6" w:rsidR="00EC05F6" w:rsidRPr="00081E12" w:rsidRDefault="00EC05F6" w:rsidP="00436719">
      <w:pPr>
        <w:pStyle w:val="ListParagraph"/>
        <w:numPr>
          <w:ilvl w:val="0"/>
          <w:numId w:val="4"/>
        </w:numPr>
        <w:spacing w:line="320" w:lineRule="atLeast"/>
        <w:ind w:left="357" w:hanging="215"/>
        <w:jc w:val="both"/>
        <w:rPr>
          <w:rFonts w:ascii="Ping LCG Regular" w:hAnsi="Ping LCG Regular"/>
          <w:i/>
          <w:iCs/>
          <w:sz w:val="22"/>
          <w:szCs w:val="22"/>
          <w:lang w:val="el-GR"/>
        </w:rPr>
      </w:pPr>
      <w:r w:rsidRPr="00081E12">
        <w:rPr>
          <w:rFonts w:ascii="Ping LCG Regular" w:hAnsi="Ping LCG Regular"/>
          <w:i/>
          <w:iCs/>
          <w:sz w:val="22"/>
          <w:szCs w:val="22"/>
          <w:lang w:val="el-GR"/>
        </w:rPr>
        <w:t>Επιβεβαίωση των προοπτικών για το 2025 με εκτίμηση για προσαρμοσμένο EBITDA στα €2</w:t>
      </w:r>
      <w:r w:rsidR="00A7029A" w:rsidRPr="00200B6F">
        <w:rPr>
          <w:rFonts w:ascii="Ping LCG Regular" w:hAnsi="Ping LCG Regular"/>
          <w:i/>
          <w:iCs/>
          <w:sz w:val="22"/>
          <w:szCs w:val="22"/>
          <w:lang w:val="el-GR"/>
        </w:rPr>
        <w:t xml:space="preserve"> </w:t>
      </w:r>
      <w:r w:rsidRPr="00081E12">
        <w:rPr>
          <w:rFonts w:ascii="Ping LCG Regular" w:hAnsi="Ping LCG Regular"/>
          <w:i/>
          <w:iCs/>
          <w:sz w:val="22"/>
          <w:szCs w:val="22"/>
          <w:lang w:val="el-GR"/>
        </w:rPr>
        <w:t xml:space="preserve">δισ.  </w:t>
      </w:r>
    </w:p>
    <w:p w14:paraId="2D2F938E" w14:textId="77777777" w:rsidR="00EC05F6" w:rsidRPr="00081E12" w:rsidRDefault="00EC05F6" w:rsidP="000A26D2">
      <w:pPr>
        <w:spacing w:line="320" w:lineRule="atLeast"/>
        <w:jc w:val="both"/>
        <w:rPr>
          <w:rFonts w:ascii="Ping LCG Regular" w:hAnsi="Ping LCG Regular"/>
          <w:i/>
          <w:iCs/>
          <w:sz w:val="22"/>
          <w:szCs w:val="22"/>
          <w:lang w:val="el-GR"/>
        </w:rPr>
      </w:pPr>
    </w:p>
    <w:p w14:paraId="6F04F23D" w14:textId="465EA214" w:rsidR="00747C7D" w:rsidRPr="00081E12" w:rsidRDefault="00C156B9">
      <w:pPr>
        <w:rPr>
          <w:rFonts w:ascii="Ping LCG Regular" w:hAnsi="Ping LCG Regular"/>
          <w:b/>
          <w:bCs/>
          <w:sz w:val="22"/>
          <w:szCs w:val="22"/>
          <w:lang w:val="el-GR"/>
        </w:rPr>
      </w:pPr>
      <w:r w:rsidRPr="00081E12">
        <w:rPr>
          <w:rFonts w:ascii="Ping LCG Regular" w:hAnsi="Ping LCG Regular"/>
          <w:b/>
          <w:bCs/>
          <w:sz w:val="22"/>
          <w:szCs w:val="22"/>
          <w:lang w:val="el-GR"/>
        </w:rPr>
        <w:t>Βασικά Οικονομικά Μεγέθη</w:t>
      </w:r>
      <w:r w:rsidR="00F55B7C" w:rsidRPr="00081E12">
        <w:rPr>
          <w:rStyle w:val="FootnoteReference"/>
          <w:rFonts w:ascii="Ping LCG Regular" w:hAnsi="Ping LCG Regular"/>
          <w:b/>
          <w:bCs/>
          <w:color w:val="FFFFFF" w:themeColor="background1"/>
          <w:sz w:val="22"/>
          <w:szCs w:val="22"/>
          <w:lang w:val="el-GR"/>
        </w:rPr>
        <w:footnoteReference w:id="2"/>
      </w:r>
    </w:p>
    <w:p w14:paraId="16D03B93" w14:textId="29384E9A" w:rsidR="00656BA7" w:rsidRDefault="00656BA7" w:rsidP="00DD3E0A">
      <w:pPr>
        <w:jc w:val="center"/>
        <w:rPr>
          <w:b/>
          <w:bCs/>
          <w:szCs w:val="22"/>
          <w:lang w:val="el-GR"/>
        </w:rPr>
      </w:pPr>
    </w:p>
    <w:p w14:paraId="25754A1D" w14:textId="3E7C6968" w:rsidR="00FB06D7" w:rsidRPr="00081E12" w:rsidRDefault="00656BA7" w:rsidP="00DD3E0A">
      <w:pPr>
        <w:jc w:val="center"/>
        <w:rPr>
          <w:rFonts w:ascii="Ping LCG Regular" w:hAnsi="Ping LCG Regular"/>
          <w:b/>
          <w:bCs/>
          <w:sz w:val="22"/>
          <w:szCs w:val="22"/>
          <w:lang w:val="el-GR"/>
        </w:rPr>
      </w:pPr>
      <w:r w:rsidRPr="00656BA7">
        <w:rPr>
          <w:b/>
          <w:bCs/>
          <w:noProof/>
          <w:szCs w:val="22"/>
          <w:lang w:val="el-GR"/>
        </w:rPr>
        <w:drawing>
          <wp:inline distT="0" distB="0" distL="0" distR="0" wp14:anchorId="45E49080" wp14:editId="58DB9E57">
            <wp:extent cx="5494020" cy="2933829"/>
            <wp:effectExtent l="0" t="0" r="0" b="0"/>
            <wp:docPr id="46479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97318" name=""/>
                    <pic:cNvPicPr/>
                  </pic:nvPicPr>
                  <pic:blipFill>
                    <a:blip r:embed="rId11"/>
                    <a:stretch>
                      <a:fillRect/>
                    </a:stretch>
                  </pic:blipFill>
                  <pic:spPr>
                    <a:xfrm>
                      <a:off x="0" y="0"/>
                      <a:ext cx="5534774" cy="2955592"/>
                    </a:xfrm>
                    <a:prstGeom prst="rect">
                      <a:avLst/>
                    </a:prstGeom>
                  </pic:spPr>
                </pic:pic>
              </a:graphicData>
            </a:graphic>
          </wp:inline>
        </w:drawing>
      </w:r>
      <w:r w:rsidR="00FB06D7" w:rsidRPr="00081E12">
        <w:rPr>
          <w:b/>
          <w:bCs/>
          <w:szCs w:val="22"/>
          <w:lang w:val="el-GR"/>
        </w:rPr>
        <w:br w:type="page"/>
      </w:r>
    </w:p>
    <w:p w14:paraId="7A3194D5" w14:textId="17873D43" w:rsidR="00145FF1" w:rsidRPr="00C57AAB" w:rsidRDefault="00145FF1" w:rsidP="00145FF1">
      <w:pPr>
        <w:pStyle w:val="DehPressRelease"/>
        <w:jc w:val="both"/>
        <w:rPr>
          <w:b/>
          <w:bCs/>
          <w:szCs w:val="22"/>
        </w:rPr>
      </w:pPr>
      <w:r w:rsidRPr="00081E12">
        <w:rPr>
          <w:b/>
          <w:bCs/>
          <w:szCs w:val="22"/>
        </w:rPr>
        <w:lastRenderedPageBreak/>
        <w:t xml:space="preserve">Βασικά γεγονότα του </w:t>
      </w:r>
      <w:r w:rsidR="00C57AAB" w:rsidRPr="00081E12">
        <w:rPr>
          <w:b/>
          <w:bCs/>
          <w:szCs w:val="22"/>
        </w:rPr>
        <w:t>έτους</w:t>
      </w:r>
      <w:r w:rsidR="007334B1" w:rsidRPr="00081E12">
        <w:rPr>
          <w:b/>
          <w:bCs/>
          <w:szCs w:val="22"/>
        </w:rPr>
        <w:t xml:space="preserve"> </w:t>
      </w:r>
      <w:r w:rsidRPr="00081E12">
        <w:rPr>
          <w:b/>
          <w:bCs/>
          <w:szCs w:val="22"/>
        </w:rPr>
        <w:t>202</w:t>
      </w:r>
      <w:r w:rsidR="007334B1" w:rsidRPr="00081E12">
        <w:rPr>
          <w:b/>
          <w:bCs/>
          <w:szCs w:val="22"/>
        </w:rPr>
        <w:t>4</w:t>
      </w:r>
      <w:r w:rsidRPr="00C57AAB">
        <w:rPr>
          <w:b/>
          <w:bCs/>
          <w:szCs w:val="22"/>
        </w:rPr>
        <w:t xml:space="preserve"> </w:t>
      </w:r>
    </w:p>
    <w:p w14:paraId="10809A1F" w14:textId="642D84D1" w:rsidR="00FE5E43" w:rsidRPr="000A26D2" w:rsidRDefault="006B47F7" w:rsidP="006B47F7">
      <w:pPr>
        <w:pStyle w:val="DehPressRelease"/>
        <w:jc w:val="both"/>
        <w:rPr>
          <w:szCs w:val="22"/>
          <w:highlight w:val="yellow"/>
        </w:rPr>
      </w:pPr>
      <w:r w:rsidRPr="00EE361A">
        <w:rPr>
          <w:szCs w:val="22"/>
        </w:rPr>
        <w:t xml:space="preserve">Η ΔΕΗ κατέγραψε ισχυρές επιδόσεις για ένα ακόμη </w:t>
      </w:r>
      <w:r w:rsidR="0022723B">
        <w:rPr>
          <w:szCs w:val="22"/>
        </w:rPr>
        <w:t>έτος</w:t>
      </w:r>
      <w:r w:rsidR="00244F9C">
        <w:rPr>
          <w:szCs w:val="22"/>
        </w:rPr>
        <w:t xml:space="preserve"> με </w:t>
      </w:r>
      <w:r w:rsidR="00582455">
        <w:rPr>
          <w:szCs w:val="22"/>
        </w:rPr>
        <w:t xml:space="preserve">το </w:t>
      </w:r>
      <w:r w:rsidR="00582455" w:rsidRPr="00582455">
        <w:rPr>
          <w:szCs w:val="22"/>
        </w:rPr>
        <w:t xml:space="preserve">προσαρμοσμένο EBITDA </w:t>
      </w:r>
      <w:r w:rsidR="00582455">
        <w:rPr>
          <w:szCs w:val="22"/>
        </w:rPr>
        <w:t xml:space="preserve">να αυξάνεται </w:t>
      </w:r>
      <w:r w:rsidR="00582455" w:rsidRPr="00582455">
        <w:rPr>
          <w:szCs w:val="22"/>
        </w:rPr>
        <w:t>στα €1,</w:t>
      </w:r>
      <w:r w:rsidR="00582455" w:rsidRPr="004906FA">
        <w:rPr>
          <w:szCs w:val="22"/>
        </w:rPr>
        <w:t>8 δισ.</w:t>
      </w:r>
      <w:r w:rsidR="009D7767" w:rsidRPr="004906FA">
        <w:rPr>
          <w:szCs w:val="22"/>
        </w:rPr>
        <w:t xml:space="preserve">, </w:t>
      </w:r>
      <w:r w:rsidR="009D7767" w:rsidRPr="00733EBD">
        <w:rPr>
          <w:szCs w:val="22"/>
        </w:rPr>
        <w:t xml:space="preserve">καταγράφοντας αύξηση κατά </w:t>
      </w:r>
      <w:r w:rsidR="00964F91" w:rsidRPr="00733EBD">
        <w:rPr>
          <w:szCs w:val="22"/>
        </w:rPr>
        <w:t>41</w:t>
      </w:r>
      <w:r w:rsidR="009D7767" w:rsidRPr="00733EBD">
        <w:rPr>
          <w:szCs w:val="22"/>
        </w:rPr>
        <w:t>% σε σχέση με το 2023.</w:t>
      </w:r>
      <w:r w:rsidR="00266B23" w:rsidRPr="004906FA">
        <w:rPr>
          <w:szCs w:val="22"/>
        </w:rPr>
        <w:t xml:space="preserve"> </w:t>
      </w:r>
      <w:r w:rsidR="009F47AB" w:rsidRPr="004906FA">
        <w:rPr>
          <w:szCs w:val="22"/>
        </w:rPr>
        <w:t>Αύξηση για ακόμη μία χρονιά</w:t>
      </w:r>
      <w:r w:rsidR="00760FA0">
        <w:rPr>
          <w:szCs w:val="22"/>
        </w:rPr>
        <w:t xml:space="preserve"> των επενδύσεων σε</w:t>
      </w:r>
      <w:r w:rsidR="00B61F2A" w:rsidRPr="003119C1">
        <w:rPr>
          <w:szCs w:val="22"/>
        </w:rPr>
        <w:t xml:space="preserve"> </w:t>
      </w:r>
      <w:r w:rsidR="009F47AB">
        <w:rPr>
          <w:szCs w:val="22"/>
        </w:rPr>
        <w:t>Ανανεώσιμες Πηγές Ενέργειας,</w:t>
      </w:r>
      <w:r w:rsidR="00A508E9" w:rsidRPr="00A508E9">
        <w:rPr>
          <w:szCs w:val="22"/>
        </w:rPr>
        <w:t xml:space="preserve"> ευέλικτη</w:t>
      </w:r>
      <w:r w:rsidR="009F47AB">
        <w:rPr>
          <w:szCs w:val="22"/>
        </w:rPr>
        <w:t xml:space="preserve"> </w:t>
      </w:r>
      <w:r w:rsidR="00A508E9" w:rsidRPr="00A508E9">
        <w:rPr>
          <w:szCs w:val="22"/>
        </w:rPr>
        <w:t>παραγωγή</w:t>
      </w:r>
      <w:r w:rsidR="00B61F2A">
        <w:rPr>
          <w:szCs w:val="22"/>
        </w:rPr>
        <w:t xml:space="preserve">, </w:t>
      </w:r>
      <w:r w:rsidR="00A508E9" w:rsidRPr="00A508E9">
        <w:rPr>
          <w:szCs w:val="22"/>
        </w:rPr>
        <w:t xml:space="preserve"> καθώς και </w:t>
      </w:r>
      <w:r w:rsidR="009F47AB">
        <w:rPr>
          <w:szCs w:val="22"/>
        </w:rPr>
        <w:t xml:space="preserve">σε έργα </w:t>
      </w:r>
      <w:r w:rsidR="00A508E9" w:rsidRPr="00A508E9">
        <w:rPr>
          <w:szCs w:val="22"/>
        </w:rPr>
        <w:t xml:space="preserve">διανομής και </w:t>
      </w:r>
      <w:proofErr w:type="spellStart"/>
      <w:r w:rsidR="00A508E9" w:rsidRPr="00A508E9">
        <w:rPr>
          <w:szCs w:val="22"/>
        </w:rPr>
        <w:t>ψηφιοποίησης</w:t>
      </w:r>
      <w:proofErr w:type="spellEnd"/>
      <w:r w:rsidR="00A508E9" w:rsidRPr="00A508E9">
        <w:rPr>
          <w:szCs w:val="22"/>
        </w:rPr>
        <w:t xml:space="preserve">, εκμεταλλευόμενοι τις ευκαιρίες που </w:t>
      </w:r>
      <w:r w:rsidR="00363925">
        <w:rPr>
          <w:szCs w:val="22"/>
        </w:rPr>
        <w:t xml:space="preserve">παρέχει η </w:t>
      </w:r>
      <w:r w:rsidR="00A508E9" w:rsidRPr="00A508E9">
        <w:rPr>
          <w:szCs w:val="22"/>
        </w:rPr>
        <w:t xml:space="preserve">ενεργειακή μετάβαση, </w:t>
      </w:r>
      <w:r w:rsidR="00A50725">
        <w:rPr>
          <w:szCs w:val="22"/>
        </w:rPr>
        <w:t xml:space="preserve">μειώνοντας έτσι </w:t>
      </w:r>
      <w:r w:rsidR="00A508E9" w:rsidRPr="00A508E9">
        <w:rPr>
          <w:szCs w:val="22"/>
        </w:rPr>
        <w:t xml:space="preserve">το προφίλ κινδύνου </w:t>
      </w:r>
      <w:r w:rsidR="00A50725">
        <w:rPr>
          <w:szCs w:val="22"/>
        </w:rPr>
        <w:t>της ΔΕΗ</w:t>
      </w:r>
      <w:r w:rsidR="005113E3">
        <w:rPr>
          <w:szCs w:val="22"/>
        </w:rPr>
        <w:t xml:space="preserve"> με την απομάκρυνση από το λιγνίτη</w:t>
      </w:r>
      <w:r w:rsidR="00370855" w:rsidRPr="003119C1">
        <w:rPr>
          <w:szCs w:val="22"/>
        </w:rPr>
        <w:t>.</w:t>
      </w:r>
    </w:p>
    <w:p w14:paraId="1F15CFAB" w14:textId="6348D129" w:rsidR="006B47F7" w:rsidRPr="000A26D2" w:rsidRDefault="006B47F7" w:rsidP="006B47F7">
      <w:pPr>
        <w:pStyle w:val="DehPressRelease"/>
        <w:jc w:val="both"/>
        <w:rPr>
          <w:szCs w:val="22"/>
        </w:rPr>
      </w:pPr>
      <w:r w:rsidRPr="00081E12">
        <w:rPr>
          <w:szCs w:val="22"/>
        </w:rPr>
        <w:t>Οι συνολικές επενδύσεις ανήλθαν σε €</w:t>
      </w:r>
      <w:r w:rsidR="00332E6B" w:rsidRPr="00AF1D44">
        <w:rPr>
          <w:szCs w:val="22"/>
        </w:rPr>
        <w:t>3</w:t>
      </w:r>
      <w:r w:rsidR="00C41D74" w:rsidRPr="00200B6F">
        <w:rPr>
          <w:szCs w:val="22"/>
        </w:rPr>
        <w:t xml:space="preserve"> </w:t>
      </w:r>
      <w:r w:rsidRPr="00081E12">
        <w:rPr>
          <w:szCs w:val="22"/>
        </w:rPr>
        <w:t>δισ., με σημαντική αύξηση των</w:t>
      </w:r>
      <w:r w:rsidRPr="000A26D2">
        <w:rPr>
          <w:szCs w:val="22"/>
        </w:rPr>
        <w:t xml:space="preserve"> επενδύσεων στις δραστηριότητες Διανομής και ΑΠΕ σύμφωνα με το σχέδιο της ΔΕΗ για αύξηση της συμμετοχής της καθαρής ενέργειας στο μείγμα παραγωγής ηλεκτρικής </w:t>
      </w:r>
      <w:r w:rsidRPr="004906FA">
        <w:rPr>
          <w:szCs w:val="22"/>
        </w:rPr>
        <w:t xml:space="preserve">ενέργειας και την περαιτέρω ενίσχυση και </w:t>
      </w:r>
      <w:proofErr w:type="spellStart"/>
      <w:r w:rsidRPr="004906FA">
        <w:rPr>
          <w:szCs w:val="22"/>
        </w:rPr>
        <w:t>ψηφιοποίηση</w:t>
      </w:r>
      <w:proofErr w:type="spellEnd"/>
      <w:r w:rsidRPr="004906FA">
        <w:rPr>
          <w:szCs w:val="22"/>
        </w:rPr>
        <w:t xml:space="preserve"> των δικτύων διανομής. </w:t>
      </w:r>
      <w:r w:rsidR="00881068" w:rsidRPr="004906FA">
        <w:rPr>
          <w:szCs w:val="22"/>
        </w:rPr>
        <w:t>Ε</w:t>
      </w:r>
      <w:r w:rsidRPr="004906FA">
        <w:rPr>
          <w:szCs w:val="22"/>
        </w:rPr>
        <w:t xml:space="preserve">πενδύσεις </w:t>
      </w:r>
      <w:r w:rsidR="006546BB" w:rsidRPr="004906FA">
        <w:rPr>
          <w:szCs w:val="22"/>
        </w:rPr>
        <w:t xml:space="preserve">που στο μεγαλύτερο μέρος </w:t>
      </w:r>
      <w:r w:rsidR="007C25B9" w:rsidRPr="004906FA">
        <w:rPr>
          <w:szCs w:val="22"/>
        </w:rPr>
        <w:t xml:space="preserve">τους έχουν αναπτυξιακό χαρακτήρα με </w:t>
      </w:r>
      <w:r w:rsidR="00CE7627" w:rsidRPr="00733EBD">
        <w:rPr>
          <w:szCs w:val="22"/>
        </w:rPr>
        <w:t>περίπου 85</w:t>
      </w:r>
      <w:r w:rsidR="007C25B9" w:rsidRPr="00733EBD">
        <w:rPr>
          <w:szCs w:val="22"/>
        </w:rPr>
        <w:t>%</w:t>
      </w:r>
      <w:r w:rsidR="005429B0" w:rsidRPr="00733EBD">
        <w:rPr>
          <w:szCs w:val="22"/>
        </w:rPr>
        <w:t xml:space="preserve"> των συνολικών επενδύσεων</w:t>
      </w:r>
      <w:r w:rsidR="007C25B9" w:rsidRPr="00733EBD">
        <w:rPr>
          <w:szCs w:val="22"/>
        </w:rPr>
        <w:t xml:space="preserve"> να </w:t>
      </w:r>
      <w:r w:rsidR="003B03B5" w:rsidRPr="00733EBD">
        <w:rPr>
          <w:szCs w:val="22"/>
        </w:rPr>
        <w:t>αφορά τις δραστηριότητες των ΑΠΕ, της ευέλικτης παραγωγής και της Διανομής ηλεκτρικής ενέργειας</w:t>
      </w:r>
      <w:r w:rsidR="004906FA" w:rsidRPr="004906FA">
        <w:rPr>
          <w:szCs w:val="22"/>
        </w:rPr>
        <w:t>.</w:t>
      </w:r>
    </w:p>
    <w:p w14:paraId="773A7C08" w14:textId="4EC6AB57" w:rsidR="000164ED" w:rsidRDefault="006B47F7" w:rsidP="006B47F7">
      <w:pPr>
        <w:pStyle w:val="DehPressRelease"/>
        <w:jc w:val="both"/>
        <w:rPr>
          <w:szCs w:val="22"/>
        </w:rPr>
      </w:pPr>
      <w:r w:rsidRPr="007D69E7">
        <w:rPr>
          <w:szCs w:val="22"/>
        </w:rPr>
        <w:t xml:space="preserve">Η εγκατεστημένη ισχύς σε ΑΠΕ διαμορφώθηκε σε </w:t>
      </w:r>
      <w:r w:rsidR="00F86A13" w:rsidRPr="007D69E7">
        <w:rPr>
          <w:szCs w:val="22"/>
        </w:rPr>
        <w:t>5</w:t>
      </w:r>
      <w:r w:rsidRPr="007D69E7">
        <w:rPr>
          <w:szCs w:val="22"/>
        </w:rPr>
        <w:t>,</w:t>
      </w:r>
      <w:r w:rsidR="00F86A13" w:rsidRPr="007D69E7">
        <w:rPr>
          <w:szCs w:val="22"/>
        </w:rPr>
        <w:t>5</w:t>
      </w:r>
      <w:r w:rsidRPr="007D69E7">
        <w:rPr>
          <w:szCs w:val="22"/>
        </w:rPr>
        <w:t xml:space="preserve">GW στο τέλος </w:t>
      </w:r>
      <w:r w:rsidR="00FE4CEF" w:rsidRPr="007D69E7">
        <w:rPr>
          <w:szCs w:val="22"/>
        </w:rPr>
        <w:t>του</w:t>
      </w:r>
      <w:r w:rsidRPr="007D69E7">
        <w:rPr>
          <w:szCs w:val="22"/>
        </w:rPr>
        <w:t xml:space="preserve"> 2024 από </w:t>
      </w:r>
      <w:r w:rsidR="00C16DC3" w:rsidRPr="007D69E7">
        <w:rPr>
          <w:szCs w:val="22"/>
        </w:rPr>
        <w:t>4</w:t>
      </w:r>
      <w:r w:rsidRPr="007D69E7">
        <w:rPr>
          <w:szCs w:val="22"/>
        </w:rPr>
        <w:t>,</w:t>
      </w:r>
      <w:r w:rsidR="00C16DC3" w:rsidRPr="007D69E7">
        <w:rPr>
          <w:szCs w:val="22"/>
        </w:rPr>
        <w:t>6</w:t>
      </w:r>
      <w:r w:rsidRPr="007D69E7">
        <w:rPr>
          <w:szCs w:val="22"/>
          <w:lang w:val="en-US"/>
        </w:rPr>
        <w:t>GW</w:t>
      </w:r>
      <w:r w:rsidRPr="007D69E7">
        <w:rPr>
          <w:szCs w:val="22"/>
        </w:rPr>
        <w:t xml:space="preserve"> το 2023</w:t>
      </w:r>
      <w:r w:rsidR="002D30B5">
        <w:rPr>
          <w:szCs w:val="22"/>
        </w:rPr>
        <w:t xml:space="preserve"> και ανέρχεται πλέον στα</w:t>
      </w:r>
      <w:r w:rsidR="00967F69">
        <w:rPr>
          <w:szCs w:val="22"/>
        </w:rPr>
        <w:t xml:space="preserve"> 6,2</w:t>
      </w:r>
      <w:r w:rsidR="00967F69">
        <w:rPr>
          <w:szCs w:val="22"/>
          <w:lang w:val="en-US"/>
        </w:rPr>
        <w:t>GW</w:t>
      </w:r>
      <w:r w:rsidR="00967F69">
        <w:rPr>
          <w:szCs w:val="22"/>
        </w:rPr>
        <w:t xml:space="preserve"> μετά την ολοκλήρωση έργων </w:t>
      </w:r>
      <w:r w:rsidR="00584326">
        <w:rPr>
          <w:szCs w:val="22"/>
        </w:rPr>
        <w:t xml:space="preserve">συνολικής ισχύος </w:t>
      </w:r>
      <w:r w:rsidR="00967F69">
        <w:rPr>
          <w:szCs w:val="22"/>
        </w:rPr>
        <w:t>0,7</w:t>
      </w:r>
      <w:r w:rsidR="00967F69">
        <w:rPr>
          <w:szCs w:val="22"/>
          <w:lang w:val="en-US"/>
        </w:rPr>
        <w:t>GW</w:t>
      </w:r>
      <w:r w:rsidRPr="007D69E7">
        <w:rPr>
          <w:szCs w:val="22"/>
        </w:rPr>
        <w:t xml:space="preserve">. Στα επόμενα τρίμηνα αναμένεται </w:t>
      </w:r>
      <w:r w:rsidR="000E6B0A">
        <w:rPr>
          <w:szCs w:val="22"/>
        </w:rPr>
        <w:t>ακόμα μεγαλύτερη</w:t>
      </w:r>
      <w:r w:rsidR="000E6B0A" w:rsidRPr="007D69E7">
        <w:rPr>
          <w:szCs w:val="22"/>
        </w:rPr>
        <w:t xml:space="preserve"> </w:t>
      </w:r>
      <w:r w:rsidRPr="007D69E7">
        <w:rPr>
          <w:szCs w:val="22"/>
        </w:rPr>
        <w:t>αύξηση της εγκατεστημένης ισχύος σε ΑΠΕ</w:t>
      </w:r>
      <w:r w:rsidR="000E6B0A">
        <w:rPr>
          <w:szCs w:val="22"/>
        </w:rPr>
        <w:t xml:space="preserve">, καθώς έργα </w:t>
      </w:r>
      <w:r w:rsidR="005429B0">
        <w:rPr>
          <w:szCs w:val="22"/>
        </w:rPr>
        <w:t xml:space="preserve">συνολικής </w:t>
      </w:r>
      <w:r w:rsidR="003A40C5">
        <w:rPr>
          <w:szCs w:val="22"/>
        </w:rPr>
        <w:t xml:space="preserve">ισχύος </w:t>
      </w:r>
      <w:r w:rsidR="00C54310" w:rsidRPr="000A26D2">
        <w:rPr>
          <w:szCs w:val="22"/>
        </w:rPr>
        <w:t>3,</w:t>
      </w:r>
      <w:r w:rsidR="00092D85">
        <w:rPr>
          <w:szCs w:val="22"/>
        </w:rPr>
        <w:t>7</w:t>
      </w:r>
      <w:r w:rsidR="000E6B0A" w:rsidRPr="000E6B0A">
        <w:rPr>
          <w:szCs w:val="22"/>
        </w:rPr>
        <w:t xml:space="preserve">GW </w:t>
      </w:r>
      <w:r w:rsidRPr="007D69E7">
        <w:rPr>
          <w:szCs w:val="22"/>
        </w:rPr>
        <w:t>βρίσκονται ήδη σε στάδιο κατασκευής ή έτοιμα προς κατασκευή ή και σε διαδικασία διαγωνισμού</w:t>
      </w:r>
      <w:r w:rsidR="004D3827" w:rsidRPr="007D69E7">
        <w:rPr>
          <w:szCs w:val="22"/>
        </w:rPr>
        <w:t xml:space="preserve"> (υποβολή προσφορών)</w:t>
      </w:r>
      <w:r w:rsidRPr="007D69E7">
        <w:rPr>
          <w:szCs w:val="22"/>
        </w:rPr>
        <w:t xml:space="preserve">. </w:t>
      </w:r>
    </w:p>
    <w:p w14:paraId="70CAD2A4" w14:textId="414D3246" w:rsidR="00E122FB" w:rsidRPr="001C2A1C" w:rsidRDefault="006B47F7" w:rsidP="006B47F7">
      <w:pPr>
        <w:pStyle w:val="DehPressRelease"/>
        <w:jc w:val="both"/>
        <w:rPr>
          <w:szCs w:val="22"/>
        </w:rPr>
      </w:pPr>
      <w:r w:rsidRPr="00376BDA">
        <w:rPr>
          <w:szCs w:val="22"/>
        </w:rPr>
        <w:t xml:space="preserve">Η </w:t>
      </w:r>
      <w:proofErr w:type="spellStart"/>
      <w:r w:rsidRPr="00376BDA">
        <w:rPr>
          <w:szCs w:val="22"/>
        </w:rPr>
        <w:t>λιγνιτική</w:t>
      </w:r>
      <w:proofErr w:type="spellEnd"/>
      <w:r w:rsidRPr="00376BDA">
        <w:rPr>
          <w:szCs w:val="22"/>
        </w:rPr>
        <w:t xml:space="preserve"> παραγωγή το 2024 μειώθηκε κατά περίπου </w:t>
      </w:r>
      <w:r w:rsidR="00335FA9" w:rsidRPr="00376BDA">
        <w:rPr>
          <w:szCs w:val="22"/>
        </w:rPr>
        <w:t>28</w:t>
      </w:r>
      <w:r w:rsidRPr="00376BDA">
        <w:rPr>
          <w:szCs w:val="22"/>
        </w:rPr>
        <w:t xml:space="preserve">% σε σχέση με </w:t>
      </w:r>
      <w:r w:rsidR="00335FA9" w:rsidRPr="00376BDA">
        <w:rPr>
          <w:szCs w:val="22"/>
        </w:rPr>
        <w:t>το 2023</w:t>
      </w:r>
      <w:r w:rsidRPr="00376BDA">
        <w:rPr>
          <w:szCs w:val="22"/>
        </w:rPr>
        <w:t xml:space="preserve"> και διαμορφώθηκε σε </w:t>
      </w:r>
      <w:r w:rsidR="00FC275F" w:rsidRPr="00376BDA">
        <w:rPr>
          <w:szCs w:val="22"/>
        </w:rPr>
        <w:t>3,2</w:t>
      </w:r>
      <w:r w:rsidRPr="00376BDA">
        <w:rPr>
          <w:szCs w:val="22"/>
        </w:rPr>
        <w:t>TWh, που αντιστοιχεί στο 15% της συνολικής παραγωγής της ΔΕΗ.</w:t>
      </w:r>
      <w:r w:rsidRPr="00A41FB0">
        <w:rPr>
          <w:szCs w:val="22"/>
        </w:rPr>
        <w:t xml:space="preserve"> </w:t>
      </w:r>
      <w:r w:rsidR="00E95614" w:rsidRPr="00A41FB0">
        <w:rPr>
          <w:szCs w:val="22"/>
        </w:rPr>
        <w:t xml:space="preserve">Αντίθετα, </w:t>
      </w:r>
      <w:r w:rsidR="00C3692E" w:rsidRPr="00A41FB0">
        <w:rPr>
          <w:szCs w:val="22"/>
        </w:rPr>
        <w:t xml:space="preserve">η </w:t>
      </w:r>
      <w:r w:rsidR="00C3692E">
        <w:rPr>
          <w:szCs w:val="22"/>
        </w:rPr>
        <w:t>π</w:t>
      </w:r>
      <w:r w:rsidRPr="009F0D75">
        <w:rPr>
          <w:szCs w:val="22"/>
        </w:rPr>
        <w:t xml:space="preserve">αραγωγή από ΑΠΕ </w:t>
      </w:r>
      <w:r w:rsidR="00C3692E">
        <w:rPr>
          <w:szCs w:val="22"/>
        </w:rPr>
        <w:t>κατέγραψε μικρή αύξηση</w:t>
      </w:r>
      <w:r w:rsidR="00983A03" w:rsidRPr="009F0D75">
        <w:rPr>
          <w:szCs w:val="22"/>
        </w:rPr>
        <w:t xml:space="preserve"> </w:t>
      </w:r>
      <w:r w:rsidRPr="009F0D75">
        <w:rPr>
          <w:szCs w:val="22"/>
        </w:rPr>
        <w:t>το 2024 σε σχέση με το 2023</w:t>
      </w:r>
      <w:r w:rsidR="00754EBB">
        <w:rPr>
          <w:szCs w:val="22"/>
        </w:rPr>
        <w:t xml:space="preserve">, παρά την μείωση της </w:t>
      </w:r>
      <w:r w:rsidR="00D45EFF" w:rsidRPr="00D45EFF">
        <w:rPr>
          <w:szCs w:val="22"/>
        </w:rPr>
        <w:t>υδροηλεκτρικής</w:t>
      </w:r>
      <w:r w:rsidR="00754EBB" w:rsidRPr="00D45EFF">
        <w:rPr>
          <w:szCs w:val="22"/>
        </w:rPr>
        <w:t xml:space="preserve"> παραγωγής λόγω των μικρότερων εισροών στους </w:t>
      </w:r>
      <w:r w:rsidR="00D45EFF" w:rsidRPr="00D45EFF">
        <w:rPr>
          <w:szCs w:val="22"/>
        </w:rPr>
        <w:t>ταμιευτήρες,</w:t>
      </w:r>
      <w:r w:rsidRPr="00D45EFF">
        <w:rPr>
          <w:szCs w:val="22"/>
        </w:rPr>
        <w:t xml:space="preserve"> και διαμορφώθηκε σε </w:t>
      </w:r>
      <w:r w:rsidR="003A64D9" w:rsidRPr="00D45EFF">
        <w:rPr>
          <w:szCs w:val="22"/>
        </w:rPr>
        <w:t>6</w:t>
      </w:r>
      <w:r w:rsidRPr="00D45EFF">
        <w:rPr>
          <w:szCs w:val="22"/>
        </w:rPr>
        <w:t>,</w:t>
      </w:r>
      <w:r w:rsidR="003A64D9" w:rsidRPr="00D45EFF">
        <w:rPr>
          <w:szCs w:val="22"/>
        </w:rPr>
        <w:t>2</w:t>
      </w:r>
      <w:r w:rsidRPr="00D45EFF">
        <w:rPr>
          <w:szCs w:val="22"/>
        </w:rPr>
        <w:t xml:space="preserve">TWh, που αντιστοιχεί στο </w:t>
      </w:r>
      <w:r w:rsidR="0032446A" w:rsidRPr="00D45EFF">
        <w:rPr>
          <w:szCs w:val="22"/>
        </w:rPr>
        <w:t>29</w:t>
      </w:r>
      <w:r w:rsidRPr="00D45EFF">
        <w:rPr>
          <w:szCs w:val="22"/>
        </w:rPr>
        <w:t>% της συνολικής παραγωγής της ΔΕΗ.</w:t>
      </w:r>
      <w:r w:rsidR="00D45EFF" w:rsidRPr="00D45EFF">
        <w:rPr>
          <w:szCs w:val="22"/>
        </w:rPr>
        <w:t xml:space="preserve"> Ως αποτέλεσμα, </w:t>
      </w:r>
      <w:r w:rsidR="00D45EFF" w:rsidRPr="00A41FB0">
        <w:rPr>
          <w:szCs w:val="22"/>
        </w:rPr>
        <w:t>η</w:t>
      </w:r>
      <w:r w:rsidR="00742557" w:rsidRPr="00A41FB0">
        <w:rPr>
          <w:szCs w:val="22"/>
        </w:rPr>
        <w:t xml:space="preserve"> ένταση των εκπομπών CO</w:t>
      </w:r>
      <w:r w:rsidR="00742557" w:rsidRPr="00A41FB0">
        <w:rPr>
          <w:szCs w:val="22"/>
          <w:vertAlign w:val="subscript"/>
        </w:rPr>
        <w:t>2</w:t>
      </w:r>
      <w:r w:rsidR="00742557" w:rsidRPr="00A41FB0">
        <w:rPr>
          <w:szCs w:val="22"/>
        </w:rPr>
        <w:t xml:space="preserve"> (</w:t>
      </w:r>
      <w:proofErr w:type="spellStart"/>
      <w:r w:rsidR="00742557" w:rsidRPr="00A41FB0">
        <w:rPr>
          <w:szCs w:val="22"/>
        </w:rPr>
        <w:t>Scope</w:t>
      </w:r>
      <w:proofErr w:type="spellEnd"/>
      <w:r w:rsidR="00742557" w:rsidRPr="00A41FB0">
        <w:rPr>
          <w:szCs w:val="22"/>
        </w:rPr>
        <w:t xml:space="preserve"> 1) μειώθηκε κατά περίπου 2% σε σύγκριση με το 202</w:t>
      </w:r>
      <w:r w:rsidR="004453FA" w:rsidRPr="00A41FB0">
        <w:rPr>
          <w:szCs w:val="22"/>
        </w:rPr>
        <w:t>3</w:t>
      </w:r>
      <w:r w:rsidR="00742557" w:rsidRPr="00A41FB0">
        <w:rPr>
          <w:szCs w:val="22"/>
        </w:rPr>
        <w:t>.</w:t>
      </w:r>
    </w:p>
    <w:p w14:paraId="6C9BC85D" w14:textId="77777777" w:rsidR="00E70996" w:rsidRPr="000A26D2" w:rsidRDefault="005972A9" w:rsidP="00BF5AD6">
      <w:pPr>
        <w:jc w:val="both"/>
        <w:rPr>
          <w:rFonts w:ascii="Ping LCG Regular" w:hAnsi="Ping LCG Regular"/>
          <w:sz w:val="22"/>
          <w:szCs w:val="22"/>
          <w:lang w:val="el-GR"/>
        </w:rPr>
      </w:pPr>
      <w:r w:rsidRPr="000A26D2">
        <w:rPr>
          <w:rFonts w:ascii="Ping LCG Regular" w:hAnsi="Ping LCG Regular"/>
          <w:sz w:val="22"/>
          <w:szCs w:val="22"/>
          <w:lang w:val="el-GR"/>
        </w:rPr>
        <w:t>Ο</w:t>
      </w:r>
      <w:r w:rsidR="000E5FE8" w:rsidRPr="000A26D2">
        <w:rPr>
          <w:rFonts w:ascii="Ping LCG Regular" w:hAnsi="Ping LCG Regular"/>
          <w:sz w:val="22"/>
          <w:szCs w:val="22"/>
          <w:lang w:val="el-GR"/>
        </w:rPr>
        <w:t xml:space="preserve">ι προσπάθειες </w:t>
      </w:r>
      <w:r w:rsidRPr="000A26D2">
        <w:rPr>
          <w:rFonts w:ascii="Ping LCG Regular" w:hAnsi="Ping LCG Regular"/>
          <w:sz w:val="22"/>
          <w:szCs w:val="22"/>
          <w:lang w:val="el-GR"/>
        </w:rPr>
        <w:t xml:space="preserve">της ΔΕΗ για ένα καθαρότερο και πιο ευέλικτο χαρτοφυλάκιο μονάδων </w:t>
      </w:r>
      <w:r w:rsidR="000E5FE8" w:rsidRPr="000A26D2">
        <w:rPr>
          <w:rFonts w:ascii="Ping LCG Regular" w:hAnsi="Ping LCG Regular"/>
          <w:sz w:val="22"/>
          <w:szCs w:val="22"/>
          <w:lang w:val="el-GR"/>
        </w:rPr>
        <w:t xml:space="preserve">αντικατοπτρίζονται και στη βαθμολογία της </w:t>
      </w:r>
      <w:r w:rsidR="008F3FEE" w:rsidRPr="000A26D2">
        <w:rPr>
          <w:rFonts w:ascii="Ping LCG Regular" w:hAnsi="Ping LCG Regular"/>
          <w:sz w:val="22"/>
          <w:szCs w:val="22"/>
          <w:lang w:val="el-GR"/>
        </w:rPr>
        <w:t>σ</w:t>
      </w:r>
      <w:r w:rsidR="000E5FE8" w:rsidRPr="000A26D2">
        <w:rPr>
          <w:rFonts w:ascii="Ping LCG Regular" w:hAnsi="Ping LCG Regular"/>
          <w:sz w:val="22"/>
          <w:szCs w:val="22"/>
          <w:lang w:val="el-GR"/>
        </w:rPr>
        <w:t xml:space="preserve">το CDP, η οποία αυξήθηκε </w:t>
      </w:r>
      <w:r w:rsidR="00D45EFF" w:rsidRPr="000A26D2">
        <w:rPr>
          <w:rFonts w:ascii="Ping LCG Regular" w:hAnsi="Ping LCG Regular"/>
          <w:sz w:val="22"/>
          <w:szCs w:val="22"/>
          <w:lang w:val="el-GR"/>
        </w:rPr>
        <w:t xml:space="preserve">για δεύτερη συνεχόμενη χρονιά </w:t>
      </w:r>
      <w:r w:rsidR="008F3FEE" w:rsidRPr="000A26D2">
        <w:rPr>
          <w:rFonts w:ascii="Ping LCG Regular" w:hAnsi="Ping LCG Regular"/>
          <w:sz w:val="22"/>
          <w:szCs w:val="22"/>
          <w:lang w:val="el-GR"/>
        </w:rPr>
        <w:t xml:space="preserve">κατά ακόμη μία </w:t>
      </w:r>
      <w:r w:rsidR="00BA79AB" w:rsidRPr="000A26D2">
        <w:rPr>
          <w:rFonts w:ascii="Ping LCG Regular" w:hAnsi="Ping LCG Regular"/>
          <w:sz w:val="22"/>
          <w:szCs w:val="22"/>
          <w:lang w:val="el-GR"/>
        </w:rPr>
        <w:t xml:space="preserve">βαθμίδα σε </w:t>
      </w:r>
      <w:r w:rsidR="000E5FE8" w:rsidRPr="000A26D2">
        <w:rPr>
          <w:rFonts w:ascii="Ping LCG Regular" w:hAnsi="Ping LCG Regular"/>
          <w:sz w:val="22"/>
          <w:szCs w:val="22"/>
          <w:lang w:val="el-GR"/>
        </w:rPr>
        <w:t>Β,</w:t>
      </w:r>
      <w:r w:rsidR="00ED5B62" w:rsidRPr="000A26D2">
        <w:rPr>
          <w:rFonts w:ascii="Ping LCG Regular" w:hAnsi="Ping LCG Regular"/>
          <w:sz w:val="22"/>
          <w:szCs w:val="22"/>
          <w:lang w:val="el-GR"/>
        </w:rPr>
        <w:t xml:space="preserve"> ενώ </w:t>
      </w:r>
      <w:r w:rsidR="00C71E68" w:rsidRPr="000A26D2">
        <w:rPr>
          <w:rFonts w:ascii="Ping LCG Regular" w:hAnsi="Ping LCG Regular"/>
          <w:sz w:val="22"/>
          <w:szCs w:val="22"/>
          <w:lang w:val="el-GR"/>
        </w:rPr>
        <w:t xml:space="preserve">πολύ σημαντικό γεγονός ήταν η ένταξη της ΔΕΗ στον δείκτη βιώσιμης ανάπτυξης FTSE4Good </w:t>
      </w:r>
      <w:r w:rsidR="00883939" w:rsidRPr="000A26D2">
        <w:rPr>
          <w:rFonts w:ascii="Ping LCG Regular" w:hAnsi="Ping LCG Regular"/>
          <w:sz w:val="22"/>
          <w:szCs w:val="22"/>
          <w:lang w:val="el-GR"/>
        </w:rPr>
        <w:t>του Χρηματιστηρίου του Λονδίνου</w:t>
      </w:r>
      <w:r w:rsidR="000D7473" w:rsidRPr="000A26D2">
        <w:rPr>
          <w:rFonts w:ascii="Ping LCG Regular" w:hAnsi="Ping LCG Regular"/>
          <w:sz w:val="22"/>
          <w:szCs w:val="22"/>
          <w:lang w:val="el-GR"/>
        </w:rPr>
        <w:t>.</w:t>
      </w:r>
      <w:r w:rsidR="000F154A" w:rsidRPr="000A26D2">
        <w:rPr>
          <w:rFonts w:ascii="Ping LCG Regular" w:hAnsi="Ping LCG Regular"/>
          <w:sz w:val="22"/>
          <w:szCs w:val="22"/>
          <w:lang w:val="el-GR"/>
        </w:rPr>
        <w:t xml:space="preserve"> </w:t>
      </w:r>
      <w:r w:rsidR="00680782" w:rsidRPr="000A26D2">
        <w:rPr>
          <w:rFonts w:ascii="Ping LCG Regular" w:hAnsi="Ping LCG Regular"/>
          <w:sz w:val="22"/>
          <w:szCs w:val="22"/>
          <w:lang w:val="el-GR"/>
        </w:rPr>
        <w:t>Παράλληλα</w:t>
      </w:r>
      <w:r w:rsidR="007B74AB" w:rsidRPr="000A26D2">
        <w:rPr>
          <w:rFonts w:ascii="Ping LCG Regular" w:hAnsi="Ping LCG Regular"/>
          <w:sz w:val="22"/>
          <w:szCs w:val="22"/>
          <w:lang w:val="el-GR"/>
        </w:rPr>
        <w:t>, εντός του 2024,</w:t>
      </w:r>
      <w:r w:rsidR="00680782" w:rsidRPr="000A26D2">
        <w:rPr>
          <w:rFonts w:ascii="Ping LCG Regular" w:hAnsi="Ping LCG Regular"/>
          <w:sz w:val="22"/>
          <w:szCs w:val="22"/>
          <w:lang w:val="el-GR"/>
        </w:rPr>
        <w:t xml:space="preserve"> </w:t>
      </w:r>
      <w:r w:rsidR="001C2A1C" w:rsidRPr="000A26D2">
        <w:rPr>
          <w:rFonts w:ascii="Ping LCG Regular" w:hAnsi="Ping LCG Regular"/>
          <w:sz w:val="22"/>
          <w:szCs w:val="22"/>
          <w:lang w:val="el-GR"/>
        </w:rPr>
        <w:t>ο διεθνής οργανισμός</w:t>
      </w:r>
      <w:r w:rsidR="00D03CD5" w:rsidRPr="000A26D2">
        <w:rPr>
          <w:rFonts w:ascii="Ping LCG Regular" w:hAnsi="Ping LCG Regular"/>
          <w:sz w:val="22"/>
          <w:szCs w:val="22"/>
          <w:lang w:val="el-GR"/>
        </w:rPr>
        <w:t xml:space="preserve"> </w:t>
      </w:r>
      <w:proofErr w:type="spellStart"/>
      <w:r w:rsidR="00BF0AFB" w:rsidRPr="000A26D2">
        <w:rPr>
          <w:rFonts w:ascii="Ping LCG Regular" w:hAnsi="Ping LCG Regular"/>
          <w:sz w:val="22"/>
          <w:szCs w:val="22"/>
          <w:lang w:val="el-GR"/>
        </w:rPr>
        <w:t>Science</w:t>
      </w:r>
      <w:proofErr w:type="spellEnd"/>
      <w:r w:rsidR="00BF0AFB" w:rsidRPr="000A26D2">
        <w:rPr>
          <w:rFonts w:ascii="Ping LCG Regular" w:hAnsi="Ping LCG Regular"/>
          <w:sz w:val="22"/>
          <w:szCs w:val="22"/>
          <w:lang w:val="el-GR"/>
        </w:rPr>
        <w:t xml:space="preserve"> </w:t>
      </w:r>
      <w:proofErr w:type="spellStart"/>
      <w:r w:rsidR="00BF0AFB" w:rsidRPr="000A26D2">
        <w:rPr>
          <w:rFonts w:ascii="Ping LCG Regular" w:hAnsi="Ping LCG Regular"/>
          <w:sz w:val="22"/>
          <w:szCs w:val="22"/>
          <w:lang w:val="el-GR"/>
        </w:rPr>
        <w:t>Based</w:t>
      </w:r>
      <w:proofErr w:type="spellEnd"/>
      <w:r w:rsidR="00BF0AFB" w:rsidRPr="000A26D2">
        <w:rPr>
          <w:rFonts w:ascii="Ping LCG Regular" w:hAnsi="Ping LCG Regular"/>
          <w:sz w:val="22"/>
          <w:szCs w:val="22"/>
          <w:lang w:val="el-GR"/>
        </w:rPr>
        <w:t xml:space="preserve"> </w:t>
      </w:r>
      <w:proofErr w:type="spellStart"/>
      <w:r w:rsidR="00BF0AFB" w:rsidRPr="000A26D2">
        <w:rPr>
          <w:rFonts w:ascii="Ping LCG Regular" w:hAnsi="Ping LCG Regular"/>
          <w:sz w:val="22"/>
          <w:szCs w:val="22"/>
          <w:lang w:val="el-GR"/>
        </w:rPr>
        <w:t>Targets</w:t>
      </w:r>
      <w:proofErr w:type="spellEnd"/>
      <w:r w:rsidR="00BF0AFB" w:rsidRPr="000A26D2">
        <w:rPr>
          <w:rFonts w:ascii="Ping LCG Regular" w:hAnsi="Ping LCG Regular"/>
          <w:sz w:val="22"/>
          <w:szCs w:val="22"/>
          <w:lang w:val="el-GR"/>
        </w:rPr>
        <w:t xml:space="preserve"> </w:t>
      </w:r>
      <w:proofErr w:type="spellStart"/>
      <w:r w:rsidR="00BF0AFB" w:rsidRPr="000A26D2">
        <w:rPr>
          <w:rFonts w:ascii="Ping LCG Regular" w:hAnsi="Ping LCG Regular"/>
          <w:sz w:val="22"/>
          <w:szCs w:val="22"/>
          <w:lang w:val="el-GR"/>
        </w:rPr>
        <w:t>initiative</w:t>
      </w:r>
      <w:proofErr w:type="spellEnd"/>
      <w:r w:rsidR="00BF0AFB" w:rsidRPr="000A26D2">
        <w:rPr>
          <w:rFonts w:ascii="Ping LCG Regular" w:hAnsi="Ping LCG Regular"/>
          <w:sz w:val="22"/>
          <w:szCs w:val="22"/>
          <w:lang w:val="el-GR"/>
        </w:rPr>
        <w:t xml:space="preserve"> (SBTi)</w:t>
      </w:r>
      <w:r w:rsidR="00342AD2" w:rsidRPr="000A26D2">
        <w:rPr>
          <w:rFonts w:ascii="Ping LCG Regular" w:hAnsi="Ping LCG Regular"/>
          <w:sz w:val="22"/>
          <w:szCs w:val="22"/>
          <w:lang w:val="el-GR"/>
        </w:rPr>
        <w:t xml:space="preserve"> πιστοποίησε την εγκυρότητα των βραχυπρόθεσμων και μακροπρόθεσμων στόχων του Ομίλου ΔΕΗ για μείωση εκπομπών αερίων θερμοκηπίου και ότι </w:t>
      </w:r>
      <w:r w:rsidR="00EF03DE" w:rsidRPr="000A26D2">
        <w:rPr>
          <w:rFonts w:ascii="Ping LCG Regular" w:hAnsi="Ping LCG Regular"/>
          <w:sz w:val="22"/>
          <w:szCs w:val="22"/>
          <w:lang w:val="el-GR"/>
        </w:rPr>
        <w:t>οι στόχοι μείωσης των εκπομπών αερίων του θερμοκηπίου που κατέθεσε ο Όμιλος ΔΕΗ βρίσκονται σε πλήρη ευθυγράμμιση με τον στόχο του 1,5°C, σύμφωνα με τη Συμφωνία του Παρισιού, και την επίτευξη πλήρους κλιματικής ουδετερότητας σε ολόκληρη την αλυσίδα αξίας μέχρι το 2040.</w:t>
      </w:r>
      <w:r w:rsidR="008734B0" w:rsidRPr="000A26D2">
        <w:rPr>
          <w:rFonts w:ascii="Ping LCG Regular" w:hAnsi="Ping LCG Regular"/>
          <w:sz w:val="22"/>
          <w:szCs w:val="22"/>
          <w:lang w:val="el-GR"/>
        </w:rPr>
        <w:t xml:space="preserve"> </w:t>
      </w:r>
    </w:p>
    <w:p w14:paraId="756643CD" w14:textId="77777777" w:rsidR="00E70996" w:rsidRPr="000A26D2" w:rsidRDefault="00E70996" w:rsidP="00BF5AD6">
      <w:pPr>
        <w:jc w:val="both"/>
        <w:rPr>
          <w:rFonts w:ascii="Ping LCG Regular" w:hAnsi="Ping LCG Regular"/>
          <w:sz w:val="22"/>
          <w:szCs w:val="22"/>
          <w:lang w:val="el-GR"/>
        </w:rPr>
      </w:pPr>
    </w:p>
    <w:p w14:paraId="44A678D3" w14:textId="72703CB3" w:rsidR="000605A7" w:rsidRPr="000A26D2" w:rsidRDefault="002909BF" w:rsidP="000A26D2">
      <w:pPr>
        <w:jc w:val="both"/>
        <w:rPr>
          <w:rFonts w:ascii="Ping LCG Regular" w:hAnsi="Ping LCG Regular"/>
          <w:sz w:val="22"/>
          <w:szCs w:val="22"/>
          <w:lang w:val="el-GR"/>
        </w:rPr>
      </w:pPr>
      <w:r w:rsidRPr="00E76405">
        <w:rPr>
          <w:rFonts w:ascii="Ping LCG Regular" w:hAnsi="Ping LCG Regular"/>
          <w:sz w:val="22"/>
          <w:szCs w:val="22"/>
          <w:lang w:val="el-GR"/>
        </w:rPr>
        <w:t xml:space="preserve">Η ΔΕΗ βελτίωσε επίσης την αξιολόγησή της στο ESG </w:t>
      </w:r>
      <w:proofErr w:type="spellStart"/>
      <w:r w:rsidRPr="00E76405">
        <w:rPr>
          <w:rFonts w:ascii="Ping LCG Regular" w:hAnsi="Ping LCG Regular"/>
          <w:sz w:val="22"/>
          <w:szCs w:val="22"/>
          <w:lang w:val="el-GR"/>
        </w:rPr>
        <w:t>Transparency</w:t>
      </w:r>
      <w:proofErr w:type="spellEnd"/>
      <w:r w:rsidRPr="00E76405">
        <w:rPr>
          <w:rFonts w:ascii="Ping LCG Regular" w:hAnsi="Ping LCG Regular"/>
          <w:sz w:val="22"/>
          <w:szCs w:val="22"/>
          <w:lang w:val="el-GR"/>
        </w:rPr>
        <w:t xml:space="preserve"> </w:t>
      </w:r>
      <w:proofErr w:type="spellStart"/>
      <w:r w:rsidRPr="00E76405">
        <w:rPr>
          <w:rFonts w:ascii="Ping LCG Regular" w:hAnsi="Ping LCG Regular"/>
          <w:sz w:val="22"/>
          <w:szCs w:val="22"/>
          <w:lang w:val="el-GR"/>
        </w:rPr>
        <w:t>Score</w:t>
      </w:r>
      <w:proofErr w:type="spellEnd"/>
      <w:r w:rsidRPr="00E76405">
        <w:rPr>
          <w:rFonts w:ascii="Ping LCG Regular" w:hAnsi="Ping LCG Regular"/>
          <w:sz w:val="22"/>
          <w:szCs w:val="22"/>
          <w:lang w:val="el-GR"/>
        </w:rPr>
        <w:t xml:space="preserve"> του δείκτη ATHEX ESG του Χρηματιστηρίου Αθηνών, πετυχαίνοντας 91% θετική αξιολόγηση μετά από εκτενή ανάλυση μίας σειράς κριτηρίων για τους πυλώνες Περιβάλλον - Κοινωνία - Εταιρική Διακυβέρνηση</w:t>
      </w:r>
      <w:r w:rsidR="00AD3170" w:rsidRPr="00E76405">
        <w:rPr>
          <w:rFonts w:ascii="Ping LCG Regular" w:hAnsi="Ping LCG Regular"/>
          <w:sz w:val="22"/>
          <w:szCs w:val="22"/>
          <w:lang w:val="el-GR"/>
        </w:rPr>
        <w:t xml:space="preserve"> και </w:t>
      </w:r>
      <w:r w:rsidRPr="00E76405">
        <w:rPr>
          <w:rFonts w:ascii="Ping LCG Regular" w:hAnsi="Ping LCG Regular"/>
          <w:sz w:val="22"/>
          <w:szCs w:val="22"/>
          <w:lang w:val="el-GR"/>
        </w:rPr>
        <w:t>συγκαταλέγεται στις κορυφαίες εταιρείες της ελληνικής αγοράς</w:t>
      </w:r>
      <w:r w:rsidR="00AD3170" w:rsidRPr="00E76405">
        <w:rPr>
          <w:rFonts w:ascii="Ping LCG Regular" w:hAnsi="Ping LCG Regular"/>
          <w:sz w:val="22"/>
          <w:szCs w:val="22"/>
          <w:lang w:val="el-GR"/>
        </w:rPr>
        <w:t xml:space="preserve"> σε θέματα </w:t>
      </w:r>
      <w:r w:rsidR="00AD3170" w:rsidRPr="00BF5AD6">
        <w:rPr>
          <w:szCs w:val="22"/>
        </w:rPr>
        <w:t>ESG</w:t>
      </w:r>
      <w:r w:rsidR="00AD3170" w:rsidRPr="00DD3E0A">
        <w:rPr>
          <w:szCs w:val="22"/>
          <w:lang w:val="el-GR"/>
        </w:rPr>
        <w:t>.</w:t>
      </w:r>
      <w:r w:rsidR="000605A7" w:rsidRPr="000A26D2">
        <w:rPr>
          <w:rFonts w:ascii="Ping LCG Regular" w:hAnsi="Ping LCG Regular"/>
          <w:sz w:val="22"/>
          <w:szCs w:val="22"/>
          <w:lang w:val="el-GR"/>
        </w:rPr>
        <w:br w:type="page"/>
      </w:r>
    </w:p>
    <w:p w14:paraId="0550C625" w14:textId="7C14CA6C" w:rsidR="00145FF1" w:rsidRPr="00A50A9D" w:rsidRDefault="00145FF1" w:rsidP="00145FF1">
      <w:pPr>
        <w:pStyle w:val="DehPressRelease"/>
        <w:jc w:val="both"/>
        <w:rPr>
          <w:b/>
          <w:bCs/>
          <w:szCs w:val="22"/>
        </w:rPr>
      </w:pPr>
      <w:r w:rsidRPr="00A50A9D">
        <w:rPr>
          <w:b/>
          <w:bCs/>
          <w:szCs w:val="22"/>
        </w:rPr>
        <w:lastRenderedPageBreak/>
        <w:t xml:space="preserve">Οικονομικές επιδόσεις </w:t>
      </w:r>
    </w:p>
    <w:p w14:paraId="7A235DB5" w14:textId="498E73EE" w:rsidR="00A33789" w:rsidRPr="00733EBD" w:rsidRDefault="0038088C" w:rsidP="005115CE">
      <w:pPr>
        <w:pStyle w:val="DehPressRelease"/>
        <w:jc w:val="both"/>
        <w:rPr>
          <w:strike/>
          <w:szCs w:val="22"/>
        </w:rPr>
      </w:pPr>
      <w:r w:rsidRPr="00A50A9D">
        <w:rPr>
          <w:b/>
          <w:bCs/>
          <w:szCs w:val="22"/>
        </w:rPr>
        <w:t xml:space="preserve">Ισχυρή </w:t>
      </w:r>
      <w:r w:rsidR="001504E0" w:rsidRPr="00A50A9D">
        <w:rPr>
          <w:b/>
          <w:bCs/>
          <w:szCs w:val="22"/>
        </w:rPr>
        <w:t xml:space="preserve">λειτουργική κερδοφορία για το 2024 </w:t>
      </w:r>
      <w:r w:rsidR="001504E0" w:rsidRPr="00A50A9D">
        <w:rPr>
          <w:szCs w:val="22"/>
        </w:rPr>
        <w:t xml:space="preserve">με τα </w:t>
      </w:r>
      <w:r w:rsidR="00E20B67" w:rsidRPr="00A50A9D">
        <w:rPr>
          <w:szCs w:val="22"/>
        </w:rPr>
        <w:t xml:space="preserve">προσαρμοσμένα </w:t>
      </w:r>
      <w:r w:rsidR="001504E0" w:rsidRPr="00A50A9D">
        <w:rPr>
          <w:szCs w:val="22"/>
        </w:rPr>
        <w:t>κέρδη προ τόκων, φόρων και αποσβέσεων (</w:t>
      </w:r>
      <w:r w:rsidR="001504E0" w:rsidRPr="00A50A9D">
        <w:rPr>
          <w:szCs w:val="22"/>
          <w:lang w:val="en-US"/>
        </w:rPr>
        <w:t>EBITDA</w:t>
      </w:r>
      <w:r w:rsidR="001504E0" w:rsidRPr="00A50A9D">
        <w:rPr>
          <w:szCs w:val="22"/>
        </w:rPr>
        <w:t>) να διαμορφώνονται σε €</w:t>
      </w:r>
      <w:r w:rsidR="006E640A" w:rsidRPr="00A50A9D">
        <w:rPr>
          <w:szCs w:val="22"/>
        </w:rPr>
        <w:t>1</w:t>
      </w:r>
      <w:r w:rsidR="004043EB" w:rsidRPr="000A26D2">
        <w:rPr>
          <w:szCs w:val="22"/>
        </w:rPr>
        <w:t>,</w:t>
      </w:r>
      <w:r w:rsidR="004C55D2" w:rsidRPr="000A26D2">
        <w:rPr>
          <w:szCs w:val="22"/>
        </w:rPr>
        <w:t xml:space="preserve">8 </w:t>
      </w:r>
      <w:r w:rsidR="004C55D2">
        <w:rPr>
          <w:szCs w:val="22"/>
        </w:rPr>
        <w:t>δι</w:t>
      </w:r>
      <w:r w:rsidR="00271830">
        <w:rPr>
          <w:szCs w:val="22"/>
        </w:rPr>
        <w:t>σ</w:t>
      </w:r>
      <w:r w:rsidR="00271830" w:rsidRPr="00200B6F">
        <w:rPr>
          <w:szCs w:val="22"/>
        </w:rPr>
        <w:t>.</w:t>
      </w:r>
      <w:r w:rsidR="00056928">
        <w:rPr>
          <w:szCs w:val="22"/>
        </w:rPr>
        <w:t xml:space="preserve">, αυξημένα </w:t>
      </w:r>
      <w:r w:rsidR="00056928" w:rsidRPr="004906FA">
        <w:rPr>
          <w:szCs w:val="22"/>
        </w:rPr>
        <w:t xml:space="preserve">κατά </w:t>
      </w:r>
      <w:r w:rsidR="00C151A0" w:rsidRPr="00733EBD">
        <w:rPr>
          <w:szCs w:val="22"/>
        </w:rPr>
        <w:t>41%</w:t>
      </w:r>
      <w:r w:rsidR="003711D9" w:rsidRPr="00733EBD">
        <w:rPr>
          <w:szCs w:val="22"/>
        </w:rPr>
        <w:t xml:space="preserve"> </w:t>
      </w:r>
      <w:r w:rsidR="00C151A0" w:rsidRPr="00733EBD">
        <w:rPr>
          <w:szCs w:val="22"/>
        </w:rPr>
        <w:t>σε σχέση με το 2023</w:t>
      </w:r>
      <w:r w:rsidR="001504E0" w:rsidRPr="00733EBD">
        <w:rPr>
          <w:szCs w:val="22"/>
        </w:rPr>
        <w:t>.</w:t>
      </w:r>
      <w:r w:rsidR="00122E3B" w:rsidRPr="00733EBD">
        <w:rPr>
          <w:szCs w:val="22"/>
        </w:rPr>
        <w:t xml:space="preserve"> </w:t>
      </w:r>
      <w:r w:rsidR="00156828" w:rsidRPr="00733EBD">
        <w:rPr>
          <w:szCs w:val="22"/>
        </w:rPr>
        <w:t>Στ</w:t>
      </w:r>
      <w:r w:rsidR="00CA05BA" w:rsidRPr="00733EBD">
        <w:rPr>
          <w:szCs w:val="22"/>
        </w:rPr>
        <w:t>ην</w:t>
      </w:r>
      <w:r w:rsidR="003C51FE" w:rsidRPr="00733EBD">
        <w:rPr>
          <w:szCs w:val="22"/>
        </w:rPr>
        <w:t xml:space="preserve"> </w:t>
      </w:r>
      <w:r w:rsidR="007B1E53" w:rsidRPr="00733EBD">
        <w:rPr>
          <w:szCs w:val="22"/>
        </w:rPr>
        <w:t>βελτίωση αυτή</w:t>
      </w:r>
      <w:r w:rsidR="003C51FE" w:rsidRPr="00733EBD">
        <w:rPr>
          <w:szCs w:val="22"/>
        </w:rPr>
        <w:t>,</w:t>
      </w:r>
      <w:r w:rsidR="00156828" w:rsidRPr="00733EBD">
        <w:rPr>
          <w:szCs w:val="22"/>
        </w:rPr>
        <w:t xml:space="preserve"> συνέβαλε η</w:t>
      </w:r>
      <w:r w:rsidR="001504E0" w:rsidRPr="00733EBD">
        <w:rPr>
          <w:szCs w:val="22"/>
        </w:rPr>
        <w:t xml:space="preserve"> αυξημένη συνεισφορά των δραστηριοτήτων</w:t>
      </w:r>
      <w:r w:rsidR="00634574" w:rsidRPr="00733EBD">
        <w:rPr>
          <w:szCs w:val="22"/>
        </w:rPr>
        <w:t xml:space="preserve"> </w:t>
      </w:r>
      <w:r w:rsidR="003554A4" w:rsidRPr="00733EBD">
        <w:rPr>
          <w:szCs w:val="22"/>
        </w:rPr>
        <w:t xml:space="preserve">στην Ελλάδα, τόσο </w:t>
      </w:r>
      <w:r w:rsidR="001504E0" w:rsidRPr="00733EBD">
        <w:rPr>
          <w:szCs w:val="22"/>
        </w:rPr>
        <w:t>της Διανομής</w:t>
      </w:r>
      <w:r w:rsidR="003554A4" w:rsidRPr="00733EBD">
        <w:rPr>
          <w:szCs w:val="22"/>
        </w:rPr>
        <w:t xml:space="preserve"> </w:t>
      </w:r>
      <w:r w:rsidR="00F45514" w:rsidRPr="00733EBD">
        <w:rPr>
          <w:szCs w:val="22"/>
        </w:rPr>
        <w:t>όσο</w:t>
      </w:r>
      <w:r w:rsidR="003554A4" w:rsidRPr="00733EBD">
        <w:rPr>
          <w:szCs w:val="22"/>
        </w:rPr>
        <w:t xml:space="preserve"> και</w:t>
      </w:r>
      <w:r w:rsidR="00596BD0" w:rsidRPr="00733EBD">
        <w:rPr>
          <w:szCs w:val="22"/>
        </w:rPr>
        <w:t xml:space="preserve"> </w:t>
      </w:r>
      <w:r w:rsidR="00F82615" w:rsidRPr="00733EBD">
        <w:rPr>
          <w:szCs w:val="22"/>
        </w:rPr>
        <w:t xml:space="preserve">αυτή </w:t>
      </w:r>
      <w:r w:rsidR="00BF4AB0" w:rsidRPr="00733EBD">
        <w:rPr>
          <w:szCs w:val="22"/>
        </w:rPr>
        <w:t>της παραγωγής και εμπορίας ηλεκτρικής ενέργειας</w:t>
      </w:r>
      <w:r w:rsidR="005E5A32" w:rsidRPr="00733EBD">
        <w:rPr>
          <w:szCs w:val="22"/>
        </w:rPr>
        <w:t>,</w:t>
      </w:r>
      <w:r w:rsidR="00FA20B2" w:rsidRPr="00733EBD">
        <w:rPr>
          <w:szCs w:val="22"/>
        </w:rPr>
        <w:t xml:space="preserve"> καθώς και</w:t>
      </w:r>
      <w:r w:rsidR="005E5A32" w:rsidRPr="00733EBD">
        <w:rPr>
          <w:szCs w:val="22"/>
        </w:rPr>
        <w:t xml:space="preserve"> </w:t>
      </w:r>
      <w:r w:rsidR="00156828" w:rsidRPr="00733EBD">
        <w:rPr>
          <w:szCs w:val="22"/>
        </w:rPr>
        <w:t xml:space="preserve">η </w:t>
      </w:r>
      <w:r w:rsidR="00A82FEB" w:rsidRPr="00733EBD">
        <w:rPr>
          <w:szCs w:val="22"/>
        </w:rPr>
        <w:t>ενοποίηση των αποτελεσμάτων</w:t>
      </w:r>
      <w:r w:rsidR="001504E0" w:rsidRPr="00733EBD">
        <w:rPr>
          <w:szCs w:val="22"/>
        </w:rPr>
        <w:t xml:space="preserve"> </w:t>
      </w:r>
      <w:r w:rsidR="00E320AE" w:rsidRPr="00733EBD">
        <w:rPr>
          <w:szCs w:val="22"/>
        </w:rPr>
        <w:t>της Ρουμανίας</w:t>
      </w:r>
      <w:r w:rsidR="0051097E" w:rsidRPr="00733EBD">
        <w:rPr>
          <w:szCs w:val="22"/>
        </w:rPr>
        <w:t xml:space="preserve"> </w:t>
      </w:r>
      <w:r w:rsidR="00F118B8" w:rsidRPr="00733EBD">
        <w:rPr>
          <w:szCs w:val="22"/>
        </w:rPr>
        <w:t xml:space="preserve">για </w:t>
      </w:r>
      <w:r w:rsidR="00594558" w:rsidRPr="00733EBD">
        <w:rPr>
          <w:szCs w:val="22"/>
        </w:rPr>
        <w:t>ολόκληρο</w:t>
      </w:r>
      <w:r w:rsidR="00F118B8" w:rsidRPr="00733EBD">
        <w:rPr>
          <w:szCs w:val="22"/>
        </w:rPr>
        <w:t xml:space="preserve"> το έτος</w:t>
      </w:r>
      <w:r w:rsidR="002B3EE9" w:rsidRPr="00733EBD">
        <w:rPr>
          <w:szCs w:val="22"/>
        </w:rPr>
        <w:t xml:space="preserve"> </w:t>
      </w:r>
      <w:r w:rsidR="004C55D2" w:rsidRPr="00733EBD">
        <w:rPr>
          <w:szCs w:val="22"/>
        </w:rPr>
        <w:t xml:space="preserve">σε σχέση με το 2023 </w:t>
      </w:r>
      <w:r w:rsidR="00A33789" w:rsidRPr="00733EBD">
        <w:rPr>
          <w:szCs w:val="22"/>
        </w:rPr>
        <w:t xml:space="preserve">και </w:t>
      </w:r>
      <w:r w:rsidR="00F20F7E" w:rsidRPr="00733EBD">
        <w:rPr>
          <w:szCs w:val="22"/>
        </w:rPr>
        <w:t xml:space="preserve">επιπλέον </w:t>
      </w:r>
      <w:r w:rsidR="00F118B8" w:rsidRPr="00733EBD">
        <w:rPr>
          <w:szCs w:val="22"/>
        </w:rPr>
        <w:t>η προσθήκη</w:t>
      </w:r>
      <w:r w:rsidR="006B1034" w:rsidRPr="00733EBD">
        <w:rPr>
          <w:szCs w:val="22"/>
        </w:rPr>
        <w:t xml:space="preserve"> της </w:t>
      </w:r>
      <w:r w:rsidR="00CA08A6" w:rsidRPr="00733EBD">
        <w:rPr>
          <w:szCs w:val="22"/>
        </w:rPr>
        <w:t>Κωτσόβολος στην Ελλάδα</w:t>
      </w:r>
      <w:r w:rsidR="00A33789" w:rsidRPr="00733EBD">
        <w:rPr>
          <w:szCs w:val="22"/>
        </w:rPr>
        <w:t>.</w:t>
      </w:r>
    </w:p>
    <w:p w14:paraId="157C3557" w14:textId="2AFBBB39" w:rsidR="00583040" w:rsidRPr="006D2307" w:rsidRDefault="00583040" w:rsidP="00583040">
      <w:pPr>
        <w:pStyle w:val="DehPressRelease"/>
        <w:spacing w:after="240"/>
        <w:jc w:val="both"/>
        <w:rPr>
          <w:szCs w:val="22"/>
        </w:rPr>
      </w:pPr>
      <w:r w:rsidRPr="006D2307">
        <w:rPr>
          <w:b/>
          <w:bCs/>
          <w:szCs w:val="22"/>
        </w:rPr>
        <w:t>Τα προσαρμοσμένα καθαρά κέρδη</w:t>
      </w:r>
      <w:r w:rsidRPr="006D2307">
        <w:rPr>
          <w:szCs w:val="22"/>
        </w:rPr>
        <w:t xml:space="preserve"> διαμορφώθηκαν σε €</w:t>
      </w:r>
      <w:r w:rsidR="00EF7418">
        <w:rPr>
          <w:szCs w:val="22"/>
        </w:rPr>
        <w:t>426</w:t>
      </w:r>
      <w:r w:rsidR="00EF7418" w:rsidRPr="006D2307">
        <w:rPr>
          <w:szCs w:val="22"/>
        </w:rPr>
        <w:t xml:space="preserve"> </w:t>
      </w:r>
      <w:r w:rsidRPr="006D2307">
        <w:rPr>
          <w:szCs w:val="22"/>
        </w:rPr>
        <w:t>εκατ. έναντι €</w:t>
      </w:r>
      <w:r w:rsidR="00FF443A" w:rsidRPr="006D2307">
        <w:rPr>
          <w:szCs w:val="22"/>
        </w:rPr>
        <w:t>206</w:t>
      </w:r>
      <w:r w:rsidRPr="006D2307">
        <w:rPr>
          <w:szCs w:val="22"/>
        </w:rPr>
        <w:t xml:space="preserve"> εκατ. το 2023</w:t>
      </w:r>
      <w:r w:rsidRPr="006D2307">
        <w:rPr>
          <w:rStyle w:val="FootnoteReference"/>
          <w:szCs w:val="22"/>
        </w:rPr>
        <w:footnoteReference w:id="3"/>
      </w:r>
      <w:r w:rsidRPr="006D2307">
        <w:rPr>
          <w:szCs w:val="22"/>
        </w:rPr>
        <w:t>.</w:t>
      </w:r>
      <w:r w:rsidRPr="006D2307">
        <w:t xml:space="preserve"> </w:t>
      </w:r>
      <w:r w:rsidRPr="006D2307">
        <w:rPr>
          <w:szCs w:val="22"/>
        </w:rPr>
        <w:t xml:space="preserve">Τα προσαρμοσμένα καθαρά κέρδη </w:t>
      </w:r>
      <w:r w:rsidRPr="004906FA">
        <w:rPr>
          <w:szCs w:val="22"/>
        </w:rPr>
        <w:t>μετά την αφαίρεση των δικαιωμάτων μειοψηφίας διαμορφώθηκαν σε €</w:t>
      </w:r>
      <w:r w:rsidR="008B30FA">
        <w:rPr>
          <w:szCs w:val="22"/>
        </w:rPr>
        <w:t>365</w:t>
      </w:r>
      <w:r w:rsidR="008B30FA" w:rsidRPr="004906FA">
        <w:rPr>
          <w:szCs w:val="22"/>
        </w:rPr>
        <w:t xml:space="preserve"> </w:t>
      </w:r>
      <w:r w:rsidRPr="004906FA">
        <w:rPr>
          <w:szCs w:val="22"/>
        </w:rPr>
        <w:t xml:space="preserve">εκατ. από </w:t>
      </w:r>
      <w:r w:rsidRPr="00733EBD">
        <w:rPr>
          <w:szCs w:val="22"/>
        </w:rPr>
        <w:t>€</w:t>
      </w:r>
      <w:r w:rsidR="000D0AFD" w:rsidRPr="00733EBD">
        <w:rPr>
          <w:szCs w:val="22"/>
        </w:rPr>
        <w:t>1</w:t>
      </w:r>
      <w:r w:rsidR="00122415" w:rsidRPr="00733EBD">
        <w:rPr>
          <w:szCs w:val="22"/>
        </w:rPr>
        <w:t>40</w:t>
      </w:r>
      <w:r w:rsidRPr="004906FA">
        <w:rPr>
          <w:szCs w:val="22"/>
        </w:rPr>
        <w:t xml:space="preserve"> εκατ</w:t>
      </w:r>
      <w:r w:rsidRPr="006D2307">
        <w:rPr>
          <w:szCs w:val="22"/>
        </w:rPr>
        <w:t>.</w:t>
      </w:r>
      <w:r w:rsidR="00FA0EB7" w:rsidRPr="00FA0EB7">
        <w:rPr>
          <w:szCs w:val="22"/>
        </w:rPr>
        <w:t xml:space="preserve"> </w:t>
      </w:r>
      <w:r w:rsidR="00FA0EB7">
        <w:rPr>
          <w:szCs w:val="22"/>
        </w:rPr>
        <w:t>το</w:t>
      </w:r>
      <w:r w:rsidRPr="006D2307">
        <w:rPr>
          <w:szCs w:val="22"/>
        </w:rPr>
        <w:t xml:space="preserve"> </w:t>
      </w:r>
      <w:r w:rsidR="00B62F9D" w:rsidRPr="00B62F9D">
        <w:rPr>
          <w:szCs w:val="22"/>
        </w:rPr>
        <w:t>2023</w:t>
      </w:r>
      <w:r w:rsidR="000E4C94" w:rsidRPr="000E4C94">
        <w:rPr>
          <w:szCs w:val="22"/>
          <w:vertAlign w:val="superscript"/>
        </w:rPr>
        <w:t>2</w:t>
      </w:r>
      <w:r w:rsidRPr="006D2307">
        <w:rPr>
          <w:szCs w:val="22"/>
        </w:rPr>
        <w:t>.</w:t>
      </w:r>
    </w:p>
    <w:p w14:paraId="4E29C6D4" w14:textId="164A326E" w:rsidR="00675C70" w:rsidRPr="00A637D6" w:rsidRDefault="00583040" w:rsidP="00583040">
      <w:pPr>
        <w:pStyle w:val="DehPressRelease"/>
        <w:spacing w:after="240"/>
        <w:jc w:val="both"/>
        <w:rPr>
          <w:szCs w:val="22"/>
        </w:rPr>
      </w:pPr>
      <w:r w:rsidRPr="006D2307">
        <w:rPr>
          <w:b/>
          <w:bCs/>
          <w:szCs w:val="22"/>
        </w:rPr>
        <w:t>Ισχυρή χρηματοοικονομική θέση</w:t>
      </w:r>
      <w:r w:rsidRPr="006D2307">
        <w:rPr>
          <w:szCs w:val="22"/>
        </w:rPr>
        <w:t xml:space="preserve"> παρά </w:t>
      </w:r>
      <w:r w:rsidR="008D38AE">
        <w:rPr>
          <w:szCs w:val="22"/>
        </w:rPr>
        <w:t>την αύξηση</w:t>
      </w:r>
      <w:r w:rsidRPr="006D2307">
        <w:rPr>
          <w:szCs w:val="22"/>
        </w:rPr>
        <w:t xml:space="preserve"> των επενδύσεων. </w:t>
      </w:r>
      <w:r w:rsidR="008F24C4">
        <w:rPr>
          <w:szCs w:val="22"/>
        </w:rPr>
        <w:t xml:space="preserve">Ο δείκτης </w:t>
      </w:r>
      <w:r w:rsidRPr="006D2307">
        <w:rPr>
          <w:szCs w:val="22"/>
        </w:rPr>
        <w:t>Καθαρό χρέος/EBITDA</w:t>
      </w:r>
      <w:r w:rsidR="00860C8D">
        <w:rPr>
          <w:szCs w:val="22"/>
        </w:rPr>
        <w:t xml:space="preserve"> διαμορφώθηκε σε</w:t>
      </w:r>
      <w:r w:rsidRPr="006D2307">
        <w:rPr>
          <w:szCs w:val="22"/>
        </w:rPr>
        <w:t xml:space="preserve"> </w:t>
      </w:r>
      <w:r w:rsidR="00343F48" w:rsidRPr="006D2307">
        <w:rPr>
          <w:szCs w:val="22"/>
        </w:rPr>
        <w:t>2</w:t>
      </w:r>
      <w:r w:rsidR="00860C8D">
        <w:rPr>
          <w:szCs w:val="22"/>
        </w:rPr>
        <w:t>,</w:t>
      </w:r>
      <w:r w:rsidR="0037191E" w:rsidRPr="006D2307">
        <w:rPr>
          <w:szCs w:val="22"/>
        </w:rPr>
        <w:t>8</w:t>
      </w:r>
      <w:r w:rsidRPr="006D2307">
        <w:rPr>
          <w:szCs w:val="22"/>
          <w:lang w:val="en-US"/>
        </w:rPr>
        <w:t>x</w:t>
      </w:r>
      <w:r w:rsidR="00860C8D">
        <w:rPr>
          <w:szCs w:val="22"/>
        </w:rPr>
        <w:t xml:space="preserve"> </w:t>
      </w:r>
      <w:r w:rsidR="00860C8D" w:rsidRPr="006D2307">
        <w:rPr>
          <w:szCs w:val="22"/>
        </w:rPr>
        <w:t>το 2024</w:t>
      </w:r>
      <w:r w:rsidRPr="006D2307">
        <w:rPr>
          <w:szCs w:val="22"/>
        </w:rPr>
        <w:t xml:space="preserve">, </w:t>
      </w:r>
      <w:r w:rsidR="00332A3A">
        <w:rPr>
          <w:szCs w:val="22"/>
        </w:rPr>
        <w:t>αρκετά</w:t>
      </w:r>
      <w:r w:rsidR="00332A3A" w:rsidRPr="006D2307">
        <w:rPr>
          <w:szCs w:val="22"/>
        </w:rPr>
        <w:t xml:space="preserve"> </w:t>
      </w:r>
      <w:r w:rsidRPr="006D2307">
        <w:rPr>
          <w:szCs w:val="22"/>
        </w:rPr>
        <w:t xml:space="preserve">χαμηλότερα </w:t>
      </w:r>
      <w:r w:rsidRPr="005B7489">
        <w:rPr>
          <w:szCs w:val="22"/>
        </w:rPr>
        <w:t>από το όριο του 3,5x που έχει θέσει</w:t>
      </w:r>
      <w:r w:rsidR="004828F5" w:rsidRPr="005B7489">
        <w:rPr>
          <w:szCs w:val="22"/>
        </w:rPr>
        <w:t xml:space="preserve"> η ΔΕΗ</w:t>
      </w:r>
      <w:r w:rsidRPr="005B7489">
        <w:rPr>
          <w:szCs w:val="22"/>
        </w:rPr>
        <w:t>, με τον καθαρό δανεισμό να διαμορφώνεται σε</w:t>
      </w:r>
      <w:r w:rsidR="00A637D6" w:rsidRPr="00A41FB0">
        <w:rPr>
          <w:szCs w:val="22"/>
        </w:rPr>
        <w:t xml:space="preserve"> </w:t>
      </w:r>
      <w:r w:rsidRPr="005B7489">
        <w:rPr>
          <w:szCs w:val="22"/>
        </w:rPr>
        <w:t>€</w:t>
      </w:r>
      <w:r w:rsidR="006427E9" w:rsidRPr="005B7489">
        <w:rPr>
          <w:szCs w:val="22"/>
        </w:rPr>
        <w:t>5</w:t>
      </w:r>
      <w:r w:rsidR="00271830">
        <w:rPr>
          <w:szCs w:val="22"/>
        </w:rPr>
        <w:t>,</w:t>
      </w:r>
      <w:r w:rsidR="00FC6C78">
        <w:rPr>
          <w:szCs w:val="22"/>
        </w:rPr>
        <w:t>1 δισ</w:t>
      </w:r>
      <w:r w:rsidRPr="005B7489">
        <w:rPr>
          <w:szCs w:val="22"/>
        </w:rPr>
        <w:t>. στις 3</w:t>
      </w:r>
      <w:r w:rsidR="006427E9" w:rsidRPr="005B7489">
        <w:rPr>
          <w:szCs w:val="22"/>
        </w:rPr>
        <w:t>1</w:t>
      </w:r>
      <w:r w:rsidRPr="005B7489">
        <w:rPr>
          <w:szCs w:val="22"/>
        </w:rPr>
        <w:t>.</w:t>
      </w:r>
      <w:r w:rsidR="006427E9" w:rsidRPr="005B7489">
        <w:rPr>
          <w:szCs w:val="22"/>
        </w:rPr>
        <w:t>12</w:t>
      </w:r>
      <w:r w:rsidRPr="005B7489">
        <w:rPr>
          <w:szCs w:val="22"/>
        </w:rPr>
        <w:t>.2024.</w:t>
      </w:r>
    </w:p>
    <w:p w14:paraId="52691125" w14:textId="377D6CB2" w:rsidR="00A637D6" w:rsidRDefault="00A637D6" w:rsidP="00176F2C">
      <w:pPr>
        <w:pStyle w:val="DehPressRelease"/>
        <w:jc w:val="both"/>
        <w:rPr>
          <w:szCs w:val="22"/>
        </w:rPr>
      </w:pPr>
      <w:r w:rsidRPr="00314500">
        <w:rPr>
          <w:b/>
          <w:bCs/>
          <w:szCs w:val="22"/>
        </w:rPr>
        <w:t>Πρόταση για διανομή μερίσματος €0,40/μετοχή</w:t>
      </w:r>
      <w:r w:rsidRPr="00314500">
        <w:rPr>
          <w:szCs w:val="22"/>
        </w:rPr>
        <w:t>,</w:t>
      </w:r>
      <w:r w:rsidR="00695D3C">
        <w:rPr>
          <w:szCs w:val="22"/>
        </w:rPr>
        <w:t xml:space="preserve"> </w:t>
      </w:r>
      <w:r w:rsidR="00BD35C9">
        <w:rPr>
          <w:szCs w:val="22"/>
        </w:rPr>
        <w:t xml:space="preserve">αυξημένο κατά </w:t>
      </w:r>
      <w:r w:rsidR="00695D3C">
        <w:rPr>
          <w:szCs w:val="22"/>
        </w:rPr>
        <w:t>60% σε σχέση με την εταιρική χρήση του 2023</w:t>
      </w:r>
      <w:r w:rsidR="005A7C2D" w:rsidRPr="00A41FB0">
        <w:rPr>
          <w:szCs w:val="22"/>
        </w:rPr>
        <w:t>.</w:t>
      </w:r>
      <w:r w:rsidRPr="00A637D6">
        <w:rPr>
          <w:b/>
          <w:bCs/>
          <w:szCs w:val="22"/>
        </w:rPr>
        <w:t xml:space="preserve"> </w:t>
      </w:r>
      <w:r w:rsidRPr="00A41FB0">
        <w:rPr>
          <w:szCs w:val="22"/>
        </w:rPr>
        <w:t>Η ΔΕΗ συνεχίζει για δεύτερη χρονιά τη διανομή μερίσματος, με πρόταση του Διοικητικού Συμβούλιου στην Τακτική Γενική Συνέλευση των μετόχων για διανομή μερίσματος ύψους €0,40/μετοχή</w:t>
      </w:r>
      <w:r w:rsidR="000A789B" w:rsidRPr="000A789B">
        <w:rPr>
          <w:szCs w:val="22"/>
        </w:rPr>
        <w:t xml:space="preserve"> </w:t>
      </w:r>
      <w:r w:rsidR="000A789B">
        <w:rPr>
          <w:szCs w:val="22"/>
        </w:rPr>
        <w:t>(</w:t>
      </w:r>
      <w:r w:rsidR="000A789B" w:rsidRPr="000A789B">
        <w:rPr>
          <w:szCs w:val="22"/>
        </w:rPr>
        <w:t>στο οποίο έχει συνυπολογισθεί η εξαίρεση των  ιδίων μετοχών που έχει αποκτήσει η Εταιρεία και δεν δικαιούνται μερίσματος</w:t>
      </w:r>
      <w:r w:rsidR="000A789B">
        <w:rPr>
          <w:szCs w:val="22"/>
        </w:rPr>
        <w:t>)</w:t>
      </w:r>
      <w:r w:rsidRPr="00A41FB0">
        <w:rPr>
          <w:szCs w:val="22"/>
        </w:rPr>
        <w:t xml:space="preserve">, </w:t>
      </w:r>
      <w:r w:rsidR="005A7C2D" w:rsidRPr="00314500">
        <w:rPr>
          <w:szCs w:val="22"/>
        </w:rPr>
        <w:t>όπως άλλωστε προβλέπεται και στο Στρατηγικό Σχέδιο για την περίοδο 2025-2027</w:t>
      </w:r>
      <w:r w:rsidR="006014DB">
        <w:rPr>
          <w:szCs w:val="22"/>
        </w:rPr>
        <w:t>.</w:t>
      </w:r>
    </w:p>
    <w:p w14:paraId="58E1D7DB" w14:textId="15F33A78" w:rsidR="00900F60" w:rsidRPr="000A26D2" w:rsidRDefault="00900F60" w:rsidP="00FA56E1">
      <w:pPr>
        <w:pStyle w:val="DehPressRelease"/>
        <w:spacing w:after="0"/>
        <w:jc w:val="both"/>
        <w:rPr>
          <w:b/>
          <w:bCs/>
          <w:szCs w:val="22"/>
        </w:rPr>
      </w:pPr>
      <w:r w:rsidRPr="000A26D2">
        <w:rPr>
          <w:b/>
          <w:bCs/>
          <w:szCs w:val="22"/>
        </w:rPr>
        <w:t xml:space="preserve">Προοπτικές για το </w:t>
      </w:r>
      <w:r w:rsidR="00E47724">
        <w:rPr>
          <w:b/>
          <w:bCs/>
          <w:szCs w:val="22"/>
        </w:rPr>
        <w:t>2025</w:t>
      </w:r>
      <w:r w:rsidRPr="000A26D2">
        <w:rPr>
          <w:b/>
          <w:bCs/>
          <w:szCs w:val="22"/>
        </w:rPr>
        <w:t xml:space="preserve"> </w:t>
      </w:r>
    </w:p>
    <w:p w14:paraId="6B31E2F5" w14:textId="61BFAE1F" w:rsidR="00900F60" w:rsidRPr="000A26D2" w:rsidRDefault="00900F60" w:rsidP="00FA56E1">
      <w:pPr>
        <w:pStyle w:val="DehPressRelease"/>
        <w:spacing w:after="0"/>
        <w:jc w:val="both"/>
        <w:rPr>
          <w:szCs w:val="22"/>
        </w:rPr>
      </w:pPr>
      <w:r w:rsidRPr="00900F60">
        <w:rPr>
          <w:szCs w:val="22"/>
        </w:rPr>
        <w:t xml:space="preserve">Για το </w:t>
      </w:r>
      <w:r w:rsidR="00E47724">
        <w:rPr>
          <w:szCs w:val="22"/>
        </w:rPr>
        <w:t>2025</w:t>
      </w:r>
      <w:r w:rsidRPr="00900F60">
        <w:rPr>
          <w:szCs w:val="22"/>
        </w:rPr>
        <w:t xml:space="preserve">, η ΔΕΗ επιβεβαιώνει τους στόχους που ανακοινώθηκαν στο Capital Markets </w:t>
      </w:r>
      <w:proofErr w:type="spellStart"/>
      <w:r w:rsidRPr="00900F60">
        <w:rPr>
          <w:szCs w:val="22"/>
        </w:rPr>
        <w:t>Day</w:t>
      </w:r>
      <w:proofErr w:type="spellEnd"/>
      <w:r w:rsidRPr="00900F60">
        <w:rPr>
          <w:szCs w:val="22"/>
        </w:rPr>
        <w:t xml:space="preserve"> τον </w:t>
      </w:r>
      <w:r w:rsidR="00E47724">
        <w:rPr>
          <w:szCs w:val="22"/>
        </w:rPr>
        <w:t>Νοέμβριο</w:t>
      </w:r>
      <w:r w:rsidRPr="00900F60">
        <w:rPr>
          <w:szCs w:val="22"/>
        </w:rPr>
        <w:t xml:space="preserve"> του 2024</w:t>
      </w:r>
      <w:r w:rsidR="005E2EA9">
        <w:rPr>
          <w:szCs w:val="22"/>
        </w:rPr>
        <w:t>,</w:t>
      </w:r>
      <w:r w:rsidR="00E47724">
        <w:rPr>
          <w:szCs w:val="22"/>
        </w:rPr>
        <w:t xml:space="preserve"> για προσαρμοσμένο</w:t>
      </w:r>
      <w:r w:rsidRPr="00900F60">
        <w:rPr>
          <w:szCs w:val="22"/>
        </w:rPr>
        <w:t xml:space="preserve"> EBITDA ύψους €</w:t>
      </w:r>
      <w:r w:rsidR="00E47724">
        <w:rPr>
          <w:szCs w:val="22"/>
        </w:rPr>
        <w:t>2</w:t>
      </w:r>
      <w:r w:rsidRPr="00900F60">
        <w:rPr>
          <w:szCs w:val="22"/>
        </w:rPr>
        <w:t xml:space="preserve"> δισ.</w:t>
      </w:r>
      <w:r w:rsidR="00E47724">
        <w:rPr>
          <w:szCs w:val="22"/>
        </w:rPr>
        <w:t xml:space="preserve">, </w:t>
      </w:r>
      <w:r w:rsidR="003448FA" w:rsidRPr="003448FA">
        <w:rPr>
          <w:szCs w:val="22"/>
        </w:rPr>
        <w:t>προσαρμοσμένα καθαρά κέρδη μετά την αφαίρεση των δικαιωμάτων μειοψηφίας</w:t>
      </w:r>
      <w:r w:rsidR="003448FA">
        <w:rPr>
          <w:szCs w:val="22"/>
        </w:rPr>
        <w:t xml:space="preserve"> άνω των €0,4 δι</w:t>
      </w:r>
      <w:r w:rsidR="009F5D56">
        <w:rPr>
          <w:szCs w:val="22"/>
        </w:rPr>
        <w:t>σ.</w:t>
      </w:r>
      <w:r w:rsidR="003448FA">
        <w:rPr>
          <w:szCs w:val="22"/>
        </w:rPr>
        <w:t xml:space="preserve"> και </w:t>
      </w:r>
      <w:r w:rsidR="003448FA" w:rsidRPr="00A41FB0">
        <w:rPr>
          <w:szCs w:val="22"/>
        </w:rPr>
        <w:t>διανομή μερίσματος ύψους €0,</w:t>
      </w:r>
      <w:r w:rsidR="003448FA">
        <w:rPr>
          <w:szCs w:val="22"/>
        </w:rPr>
        <w:t>6</w:t>
      </w:r>
      <w:r w:rsidR="003448FA" w:rsidRPr="00A41FB0">
        <w:rPr>
          <w:szCs w:val="22"/>
        </w:rPr>
        <w:t>0/μετοχή</w:t>
      </w:r>
      <w:r w:rsidR="00CC4DA6">
        <w:rPr>
          <w:szCs w:val="22"/>
        </w:rPr>
        <w:t xml:space="preserve"> (+</w:t>
      </w:r>
      <w:r w:rsidR="00690452">
        <w:rPr>
          <w:szCs w:val="22"/>
        </w:rPr>
        <w:t>140% σε σχέση με την εταιρική χρήση του 2023</w:t>
      </w:r>
      <w:r w:rsidR="00CC4DA6">
        <w:rPr>
          <w:szCs w:val="22"/>
        </w:rPr>
        <w:t>)</w:t>
      </w:r>
      <w:r w:rsidR="003448FA">
        <w:rPr>
          <w:szCs w:val="22"/>
        </w:rPr>
        <w:t>.</w:t>
      </w:r>
    </w:p>
    <w:p w14:paraId="60D0CC4D" w14:textId="77777777" w:rsidR="00583040" w:rsidRPr="00EF27E4" w:rsidRDefault="00583040" w:rsidP="00583040">
      <w:pPr>
        <w:rPr>
          <w:rFonts w:ascii="Ping LCG Regular" w:hAnsi="Ping LCG Regular"/>
          <w:b/>
          <w:bCs/>
          <w:sz w:val="22"/>
          <w:szCs w:val="22"/>
          <w:highlight w:val="yellow"/>
          <w:lang w:val="el-GR"/>
        </w:rPr>
      </w:pPr>
    </w:p>
    <w:p w14:paraId="404FC10A" w14:textId="77777777" w:rsidR="005A7C2D" w:rsidRDefault="005A7C2D">
      <w:pPr>
        <w:rPr>
          <w:rFonts w:ascii="Ping LCG Regular" w:hAnsi="Ping LCG Regular"/>
          <w:b/>
          <w:bCs/>
          <w:sz w:val="22"/>
          <w:szCs w:val="22"/>
          <w:highlight w:val="yellow"/>
          <w:lang w:val="el-GR"/>
        </w:rPr>
      </w:pPr>
      <w:r w:rsidRPr="00A41FB0">
        <w:rPr>
          <w:b/>
          <w:bCs/>
          <w:szCs w:val="22"/>
          <w:highlight w:val="yellow"/>
          <w:lang w:val="el-GR"/>
        </w:rPr>
        <w:br w:type="page"/>
      </w:r>
    </w:p>
    <w:p w14:paraId="453A910C" w14:textId="28B4EF5E" w:rsidR="00583040" w:rsidRPr="00FA56E1" w:rsidRDefault="00583040" w:rsidP="00583040">
      <w:pPr>
        <w:pStyle w:val="DehPressRelease"/>
        <w:jc w:val="both"/>
        <w:rPr>
          <w:b/>
          <w:bCs/>
          <w:szCs w:val="22"/>
        </w:rPr>
      </w:pPr>
      <w:r w:rsidRPr="00FA56E1">
        <w:rPr>
          <w:b/>
          <w:bCs/>
          <w:szCs w:val="22"/>
        </w:rPr>
        <w:lastRenderedPageBreak/>
        <w:t>Σχολιάζοντας τα αποτελέσματα, ο Γεώργιος Στάσσης, Πρόεδρος και Διευθύνων Σύμβουλος της ΔΕΗ δήλωσε:</w:t>
      </w:r>
    </w:p>
    <w:p w14:paraId="4289D658" w14:textId="6A1E98F7" w:rsidR="009067C4" w:rsidRPr="00FA56E1" w:rsidRDefault="003B1CB2" w:rsidP="009067C4">
      <w:pPr>
        <w:pStyle w:val="DehPressRelease"/>
        <w:jc w:val="both"/>
        <w:rPr>
          <w:i/>
          <w:iCs/>
          <w:szCs w:val="22"/>
        </w:rPr>
      </w:pPr>
      <w:r w:rsidRPr="00FA56E1">
        <w:rPr>
          <w:i/>
          <w:iCs/>
          <w:szCs w:val="22"/>
        </w:rPr>
        <w:t>«</w:t>
      </w:r>
      <w:r w:rsidR="009067C4" w:rsidRPr="00FA56E1">
        <w:rPr>
          <w:i/>
          <w:iCs/>
          <w:szCs w:val="22"/>
        </w:rPr>
        <w:t xml:space="preserve">Το 2024 ήταν μια ακόμα χρονιά ισχυρών επιδόσεων για την ΔΕΗ, με </w:t>
      </w:r>
      <w:r w:rsidR="00241FE2">
        <w:rPr>
          <w:i/>
          <w:iCs/>
          <w:szCs w:val="22"/>
        </w:rPr>
        <w:t xml:space="preserve">το </w:t>
      </w:r>
      <w:r w:rsidR="009067C4" w:rsidRPr="009067C4">
        <w:rPr>
          <w:i/>
          <w:iCs/>
          <w:szCs w:val="22"/>
          <w:lang w:val="en-US"/>
        </w:rPr>
        <w:t>EBITDA</w:t>
      </w:r>
      <w:r w:rsidR="009067C4" w:rsidRPr="00FA56E1">
        <w:rPr>
          <w:i/>
          <w:iCs/>
          <w:szCs w:val="22"/>
        </w:rPr>
        <w:t xml:space="preserve"> </w:t>
      </w:r>
      <w:r w:rsidR="00241FE2">
        <w:rPr>
          <w:i/>
          <w:iCs/>
          <w:szCs w:val="22"/>
        </w:rPr>
        <w:t>να ανέρχεται</w:t>
      </w:r>
      <w:r w:rsidR="00C03376">
        <w:rPr>
          <w:i/>
          <w:iCs/>
          <w:szCs w:val="22"/>
        </w:rPr>
        <w:t xml:space="preserve"> σε</w:t>
      </w:r>
      <w:r w:rsidR="009067C4" w:rsidRPr="00FA56E1">
        <w:rPr>
          <w:i/>
          <w:iCs/>
          <w:szCs w:val="22"/>
        </w:rPr>
        <w:t xml:space="preserve"> </w:t>
      </w:r>
      <w:r w:rsidR="00C03376">
        <w:rPr>
          <w:i/>
          <w:iCs/>
          <w:szCs w:val="22"/>
        </w:rPr>
        <w:t>€</w:t>
      </w:r>
      <w:r w:rsidR="009067C4" w:rsidRPr="00FA56E1">
        <w:rPr>
          <w:i/>
          <w:iCs/>
          <w:szCs w:val="22"/>
        </w:rPr>
        <w:t xml:space="preserve">1,8 δισ., επιτυγχάνοντας ουσιαστικά το διπλασιασμό της λειτουργικής κερδοφορίας </w:t>
      </w:r>
      <w:r w:rsidR="00FD38F1">
        <w:rPr>
          <w:i/>
          <w:iCs/>
          <w:szCs w:val="22"/>
        </w:rPr>
        <w:t>μέσα στην τελευταία τριετία</w:t>
      </w:r>
      <w:r w:rsidR="00816CEB">
        <w:rPr>
          <w:i/>
          <w:iCs/>
          <w:szCs w:val="22"/>
        </w:rPr>
        <w:t xml:space="preserve"> </w:t>
      </w:r>
      <w:r w:rsidR="00816CEB" w:rsidRPr="00200B6F">
        <w:rPr>
          <w:i/>
          <w:iCs/>
          <w:szCs w:val="22"/>
        </w:rPr>
        <w:t>σε σχέση με το 2021</w:t>
      </w:r>
      <w:r w:rsidR="009067C4" w:rsidRPr="00200B6F">
        <w:rPr>
          <w:i/>
          <w:iCs/>
          <w:szCs w:val="22"/>
        </w:rPr>
        <w:t>, όταν πραγματοποιήθηκε η Αύξηση Μετοχικού Κεφαλαίου</w:t>
      </w:r>
      <w:r w:rsidR="009067C4" w:rsidRPr="00FA56E1">
        <w:rPr>
          <w:i/>
          <w:iCs/>
          <w:szCs w:val="22"/>
        </w:rPr>
        <w:t>.</w:t>
      </w:r>
      <w:r w:rsidR="006A0B21">
        <w:rPr>
          <w:i/>
          <w:iCs/>
          <w:szCs w:val="22"/>
        </w:rPr>
        <w:t xml:space="preserve"> </w:t>
      </w:r>
      <w:r w:rsidR="009067C4" w:rsidRPr="00FA56E1">
        <w:rPr>
          <w:i/>
          <w:iCs/>
          <w:szCs w:val="22"/>
        </w:rPr>
        <w:t>Μια αύξηση</w:t>
      </w:r>
      <w:r w:rsidR="00613F8C" w:rsidRPr="00FA56E1">
        <w:rPr>
          <w:i/>
          <w:iCs/>
          <w:szCs w:val="22"/>
        </w:rPr>
        <w:t xml:space="preserve"> </w:t>
      </w:r>
      <w:r w:rsidR="009067C4" w:rsidRPr="00FA56E1">
        <w:rPr>
          <w:i/>
          <w:iCs/>
          <w:szCs w:val="22"/>
        </w:rPr>
        <w:t>που αποτυπώνεται και στη</w:t>
      </w:r>
      <w:r w:rsidR="007B08B5">
        <w:rPr>
          <w:i/>
          <w:iCs/>
          <w:szCs w:val="22"/>
        </w:rPr>
        <w:t>ν</w:t>
      </w:r>
      <w:r w:rsidR="009067C4" w:rsidRPr="00FA56E1">
        <w:rPr>
          <w:i/>
          <w:iCs/>
          <w:szCs w:val="22"/>
        </w:rPr>
        <w:t xml:space="preserve"> </w:t>
      </w:r>
      <w:r w:rsidR="00613F8C">
        <w:rPr>
          <w:i/>
          <w:iCs/>
          <w:szCs w:val="22"/>
        </w:rPr>
        <w:t>καθαρή κερδοφορία</w:t>
      </w:r>
      <w:r w:rsidR="009067C4" w:rsidRPr="00FA56E1">
        <w:rPr>
          <w:i/>
          <w:iCs/>
          <w:szCs w:val="22"/>
        </w:rPr>
        <w:t>, επιτρέποντάς μας να αυξήσουμε τη διανομή μερίσματος στα €0,40 ανά μετοχή για το 2024.</w:t>
      </w:r>
    </w:p>
    <w:p w14:paraId="60BEA4CF" w14:textId="32DF2CA6" w:rsidR="00415CEF" w:rsidRDefault="00A8175D" w:rsidP="009067C4">
      <w:pPr>
        <w:pStyle w:val="DehPressRelease"/>
        <w:jc w:val="both"/>
        <w:rPr>
          <w:i/>
          <w:iCs/>
          <w:szCs w:val="22"/>
        </w:rPr>
      </w:pPr>
      <w:r>
        <w:rPr>
          <w:i/>
          <w:iCs/>
          <w:szCs w:val="22"/>
        </w:rPr>
        <w:t>Επιπλέον</w:t>
      </w:r>
      <w:r w:rsidR="009067C4" w:rsidRPr="00FA56E1">
        <w:rPr>
          <w:i/>
          <w:iCs/>
          <w:szCs w:val="22"/>
        </w:rPr>
        <w:t xml:space="preserve">, αυξήσαμε τις επενδύσεις μας </w:t>
      </w:r>
      <w:r w:rsidR="009067C4" w:rsidRPr="004E4701">
        <w:rPr>
          <w:i/>
          <w:iCs/>
          <w:szCs w:val="22"/>
        </w:rPr>
        <w:t>στα €</w:t>
      </w:r>
      <w:r w:rsidR="00BD1E70" w:rsidRPr="00AF1D44">
        <w:rPr>
          <w:i/>
          <w:iCs/>
          <w:szCs w:val="22"/>
        </w:rPr>
        <w:t>3</w:t>
      </w:r>
      <w:r w:rsidR="009067C4" w:rsidRPr="004E4701">
        <w:rPr>
          <w:i/>
          <w:iCs/>
          <w:szCs w:val="22"/>
        </w:rPr>
        <w:t xml:space="preserve"> δισ., με</w:t>
      </w:r>
      <w:r w:rsidR="009067C4" w:rsidRPr="00FA56E1">
        <w:rPr>
          <w:i/>
          <w:iCs/>
          <w:szCs w:val="22"/>
        </w:rPr>
        <w:t xml:space="preserve"> έμφαση σε έργα Ανανεώσιμ</w:t>
      </w:r>
      <w:r w:rsidR="002252F2" w:rsidRPr="00FA56E1">
        <w:rPr>
          <w:i/>
          <w:iCs/>
          <w:szCs w:val="22"/>
        </w:rPr>
        <w:t>ων</w:t>
      </w:r>
      <w:r w:rsidR="009067C4" w:rsidRPr="00FA56E1">
        <w:rPr>
          <w:i/>
          <w:iCs/>
          <w:szCs w:val="22"/>
        </w:rPr>
        <w:t xml:space="preserve"> Πηγ</w:t>
      </w:r>
      <w:r w:rsidR="002252F2" w:rsidRPr="00FA56E1">
        <w:rPr>
          <w:i/>
          <w:iCs/>
          <w:szCs w:val="22"/>
        </w:rPr>
        <w:t>ών</w:t>
      </w:r>
      <w:r w:rsidR="009067C4" w:rsidRPr="00FA56E1">
        <w:rPr>
          <w:i/>
          <w:iCs/>
          <w:szCs w:val="22"/>
        </w:rPr>
        <w:t xml:space="preserve"> Ενέργειας και Διανομής, </w:t>
      </w:r>
      <w:r w:rsidR="00DD2F69" w:rsidRPr="00FA56E1">
        <w:rPr>
          <w:i/>
          <w:iCs/>
          <w:szCs w:val="22"/>
        </w:rPr>
        <w:t xml:space="preserve">σύμφωνα και με το στόχο μας </w:t>
      </w:r>
      <w:r w:rsidR="009067C4" w:rsidRPr="00FA56E1">
        <w:rPr>
          <w:i/>
          <w:iCs/>
          <w:szCs w:val="22"/>
        </w:rPr>
        <w:t xml:space="preserve">να </w:t>
      </w:r>
      <w:r w:rsidR="00E156A5" w:rsidRPr="00FA56E1">
        <w:rPr>
          <w:i/>
          <w:iCs/>
          <w:szCs w:val="22"/>
        </w:rPr>
        <w:t>καταστούμε</w:t>
      </w:r>
      <w:r w:rsidR="009067C4" w:rsidRPr="00FA56E1">
        <w:rPr>
          <w:i/>
          <w:iCs/>
          <w:szCs w:val="22"/>
        </w:rPr>
        <w:t xml:space="preserve"> </w:t>
      </w:r>
      <w:r w:rsidR="00492304" w:rsidRPr="00FA56E1">
        <w:rPr>
          <w:i/>
          <w:iCs/>
          <w:szCs w:val="22"/>
        </w:rPr>
        <w:t>μια ηγέτιδα</w:t>
      </w:r>
      <w:r w:rsidR="009067C4" w:rsidRPr="00FA56E1">
        <w:rPr>
          <w:i/>
          <w:iCs/>
          <w:szCs w:val="22"/>
        </w:rPr>
        <w:t xml:space="preserve"> </w:t>
      </w:r>
      <w:r w:rsidR="009067C4" w:rsidRPr="00FA56E1">
        <w:rPr>
          <w:i/>
          <w:iCs/>
          <w:szCs w:val="22"/>
          <w:lang w:val="en-US"/>
        </w:rPr>
        <w:t>Powertech</w:t>
      </w:r>
      <w:r w:rsidR="00044B43" w:rsidRPr="00FA56E1">
        <w:rPr>
          <w:i/>
          <w:iCs/>
          <w:szCs w:val="22"/>
        </w:rPr>
        <w:t xml:space="preserve"> εταιρεία</w:t>
      </w:r>
      <w:r w:rsidR="009067C4" w:rsidRPr="00FA56E1">
        <w:rPr>
          <w:i/>
          <w:iCs/>
          <w:szCs w:val="22"/>
        </w:rPr>
        <w:t xml:space="preserve">, </w:t>
      </w:r>
      <w:r w:rsidR="00B10832" w:rsidRPr="00FA56E1">
        <w:rPr>
          <w:i/>
          <w:iCs/>
          <w:szCs w:val="22"/>
        </w:rPr>
        <w:t>καθαρής</w:t>
      </w:r>
      <w:r w:rsidR="009067C4" w:rsidRPr="00FA56E1">
        <w:rPr>
          <w:i/>
          <w:iCs/>
          <w:szCs w:val="22"/>
        </w:rPr>
        <w:t xml:space="preserve"> ενέργειας στην Νοτιοανατολική Ευρώπη. Έχουμε αυξήσει σημαντικά την ισχύ των Ανανεώσιμων Πηγών Ενέργειας σε 6,2 </w:t>
      </w:r>
      <w:r w:rsidR="009067C4" w:rsidRPr="00200B6F">
        <w:rPr>
          <w:i/>
          <w:iCs/>
          <w:szCs w:val="22"/>
        </w:rPr>
        <w:t>GW</w:t>
      </w:r>
      <w:r w:rsidR="009067C4" w:rsidRPr="00FA56E1">
        <w:rPr>
          <w:i/>
          <w:iCs/>
          <w:szCs w:val="22"/>
        </w:rPr>
        <w:t xml:space="preserve">, ενώ παράλληλα συνεχίζουμε </w:t>
      </w:r>
      <w:r w:rsidR="00515F38">
        <w:rPr>
          <w:i/>
          <w:iCs/>
          <w:szCs w:val="22"/>
        </w:rPr>
        <w:t>το πλάνο</w:t>
      </w:r>
      <w:r w:rsidR="009067C4" w:rsidRPr="00FA56E1">
        <w:rPr>
          <w:i/>
          <w:iCs/>
          <w:szCs w:val="22"/>
        </w:rPr>
        <w:t xml:space="preserve"> </w:t>
      </w:r>
      <w:r w:rsidR="00515F38">
        <w:rPr>
          <w:i/>
          <w:iCs/>
          <w:szCs w:val="22"/>
        </w:rPr>
        <w:t xml:space="preserve">μας </w:t>
      </w:r>
      <w:r w:rsidR="009067C4" w:rsidRPr="00FA56E1">
        <w:rPr>
          <w:i/>
          <w:iCs/>
          <w:szCs w:val="22"/>
        </w:rPr>
        <w:t xml:space="preserve">για </w:t>
      </w:r>
      <w:r w:rsidR="00AE5270">
        <w:rPr>
          <w:i/>
          <w:iCs/>
          <w:szCs w:val="22"/>
        </w:rPr>
        <w:t xml:space="preserve">πλήρη </w:t>
      </w:r>
      <w:r w:rsidR="00173F0C">
        <w:rPr>
          <w:i/>
          <w:iCs/>
          <w:szCs w:val="22"/>
        </w:rPr>
        <w:t>έξοδο</w:t>
      </w:r>
      <w:r w:rsidR="00CA49F7">
        <w:rPr>
          <w:i/>
          <w:iCs/>
          <w:szCs w:val="22"/>
        </w:rPr>
        <w:t xml:space="preserve"> από το</w:t>
      </w:r>
      <w:r w:rsidR="001C73A8">
        <w:rPr>
          <w:i/>
          <w:iCs/>
          <w:szCs w:val="22"/>
        </w:rPr>
        <w:t>ν</w:t>
      </w:r>
      <w:r w:rsidR="00CA49F7">
        <w:rPr>
          <w:i/>
          <w:iCs/>
          <w:szCs w:val="22"/>
        </w:rPr>
        <w:t xml:space="preserve"> λιγνίτη </w:t>
      </w:r>
      <w:r w:rsidR="009067C4" w:rsidRPr="00FA56E1">
        <w:rPr>
          <w:i/>
          <w:iCs/>
          <w:szCs w:val="22"/>
        </w:rPr>
        <w:t>μέχρι το 2026.</w:t>
      </w:r>
      <w:r w:rsidR="00ED35E6">
        <w:rPr>
          <w:i/>
          <w:iCs/>
          <w:szCs w:val="22"/>
        </w:rPr>
        <w:t xml:space="preserve"> </w:t>
      </w:r>
      <w:r w:rsidR="0065081C" w:rsidRPr="000E0162">
        <w:rPr>
          <w:i/>
          <w:iCs/>
          <w:szCs w:val="22"/>
        </w:rPr>
        <w:t xml:space="preserve">Παράλληλα, η ΔΕΗ </w:t>
      </w:r>
      <w:r w:rsidR="000E0162" w:rsidRPr="00200B6F">
        <w:rPr>
          <w:i/>
          <w:iCs/>
          <w:szCs w:val="22"/>
        </w:rPr>
        <w:t xml:space="preserve">το 2024 </w:t>
      </w:r>
      <w:r w:rsidR="0065081C" w:rsidRPr="000E0162">
        <w:rPr>
          <w:i/>
          <w:iCs/>
          <w:szCs w:val="22"/>
        </w:rPr>
        <w:t xml:space="preserve">μείωσε </w:t>
      </w:r>
      <w:r w:rsidR="000E0162" w:rsidRPr="00200B6F">
        <w:rPr>
          <w:i/>
          <w:iCs/>
          <w:szCs w:val="22"/>
        </w:rPr>
        <w:t xml:space="preserve">περαιτέρω </w:t>
      </w:r>
      <w:r w:rsidR="0065081C" w:rsidRPr="000E0162">
        <w:rPr>
          <w:i/>
          <w:iCs/>
          <w:szCs w:val="22"/>
        </w:rPr>
        <w:t>τα τιμολόγια ηλεκτρικής ενέργειας προς τους πελάτες της απορροφώντας τις έντονες διακυμάνσεις των τιμών της χονδρικής αγοράς.</w:t>
      </w:r>
    </w:p>
    <w:p w14:paraId="26C7E6D7" w14:textId="348935E8" w:rsidR="00EF6C53" w:rsidRDefault="00F25A1C" w:rsidP="009067C4">
      <w:pPr>
        <w:pStyle w:val="DehPressRelease"/>
        <w:jc w:val="both"/>
        <w:rPr>
          <w:i/>
          <w:iCs/>
          <w:szCs w:val="22"/>
          <w:highlight w:val="yellow"/>
        </w:rPr>
      </w:pPr>
      <w:r>
        <w:rPr>
          <w:i/>
          <w:iCs/>
          <w:szCs w:val="22"/>
        </w:rPr>
        <w:t>Αυτές οι επιδόσεις</w:t>
      </w:r>
      <w:r w:rsidR="009067C4" w:rsidRPr="00FA56E1">
        <w:rPr>
          <w:i/>
          <w:iCs/>
          <w:szCs w:val="22"/>
        </w:rPr>
        <w:t xml:space="preserve"> αναδεικνύουν την ανθεκτικότητα του επιχειρηματικού μας μοντέλου, που μας προσφέρει σταθερότητα σε μία αγορά</w:t>
      </w:r>
      <w:r w:rsidR="00CC26BB">
        <w:rPr>
          <w:i/>
          <w:iCs/>
          <w:szCs w:val="22"/>
        </w:rPr>
        <w:t xml:space="preserve"> με μεγάλη </w:t>
      </w:r>
      <w:r w:rsidR="00CC26BB" w:rsidRPr="004906FA">
        <w:rPr>
          <w:i/>
          <w:iCs/>
          <w:szCs w:val="22"/>
        </w:rPr>
        <w:t>μεταβλητότητα</w:t>
      </w:r>
      <w:r w:rsidR="009067C4" w:rsidRPr="00FA56E1">
        <w:rPr>
          <w:i/>
          <w:iCs/>
          <w:szCs w:val="22"/>
        </w:rPr>
        <w:t xml:space="preserve"> ενώ παράλληλα δημιουργεί ευκαιρίες για επιπλέον ανάπτυξη. </w:t>
      </w:r>
      <w:r w:rsidR="00AE0134">
        <w:rPr>
          <w:i/>
          <w:iCs/>
          <w:szCs w:val="22"/>
        </w:rPr>
        <w:t>Θα συνεχίσουμε</w:t>
      </w:r>
      <w:r w:rsidR="00656971">
        <w:rPr>
          <w:i/>
          <w:iCs/>
          <w:szCs w:val="22"/>
        </w:rPr>
        <w:t xml:space="preserve"> </w:t>
      </w:r>
      <w:r w:rsidR="00656971" w:rsidRPr="000C7235">
        <w:rPr>
          <w:i/>
          <w:iCs/>
          <w:szCs w:val="22"/>
        </w:rPr>
        <w:t>να</w:t>
      </w:r>
      <w:r w:rsidR="009067C4" w:rsidRPr="00FA56E1">
        <w:rPr>
          <w:i/>
          <w:iCs/>
          <w:szCs w:val="22"/>
        </w:rPr>
        <w:t xml:space="preserve"> αξιοποιούμε αυτό το μοντέλο, υλοποιώντας σημαντικές επενδύσεις</w:t>
      </w:r>
      <w:r w:rsidR="00BC4B5F" w:rsidRPr="000C7235">
        <w:rPr>
          <w:i/>
          <w:iCs/>
          <w:szCs w:val="22"/>
        </w:rPr>
        <w:t xml:space="preserve"> </w:t>
      </w:r>
      <w:r w:rsidR="009067C4" w:rsidRPr="00FA56E1">
        <w:rPr>
          <w:i/>
          <w:iCs/>
          <w:szCs w:val="22"/>
        </w:rPr>
        <w:t xml:space="preserve">εντός των </w:t>
      </w:r>
      <w:r w:rsidR="006E4C1D" w:rsidRPr="000C7235">
        <w:rPr>
          <w:i/>
          <w:iCs/>
          <w:szCs w:val="22"/>
        </w:rPr>
        <w:t>αποδό</w:t>
      </w:r>
      <w:r w:rsidR="00922D24" w:rsidRPr="000C7235">
        <w:rPr>
          <w:i/>
          <w:iCs/>
          <w:szCs w:val="22"/>
        </w:rPr>
        <w:t>σεων</w:t>
      </w:r>
      <w:r w:rsidR="00F54AE9" w:rsidRPr="000C7235">
        <w:rPr>
          <w:i/>
          <w:iCs/>
          <w:szCs w:val="22"/>
        </w:rPr>
        <w:t>-στόχων</w:t>
      </w:r>
      <w:r w:rsidR="00111274" w:rsidRPr="000C7235">
        <w:rPr>
          <w:i/>
          <w:iCs/>
          <w:szCs w:val="22"/>
        </w:rPr>
        <w:t xml:space="preserve"> </w:t>
      </w:r>
      <w:r w:rsidR="000C7235" w:rsidRPr="00FA56E1">
        <w:rPr>
          <w:i/>
          <w:iCs/>
          <w:szCs w:val="22"/>
        </w:rPr>
        <w:t>που προβλέπονται</w:t>
      </w:r>
      <w:r w:rsidR="009067C4" w:rsidRPr="00FA56E1">
        <w:rPr>
          <w:i/>
          <w:iCs/>
          <w:szCs w:val="22"/>
        </w:rPr>
        <w:t xml:space="preserve"> στο Στρατηγικό</w:t>
      </w:r>
      <w:r w:rsidR="00C66DDD" w:rsidRPr="000C7235">
        <w:rPr>
          <w:i/>
          <w:iCs/>
          <w:szCs w:val="22"/>
        </w:rPr>
        <w:t xml:space="preserve"> μας</w:t>
      </w:r>
      <w:r w:rsidR="009067C4" w:rsidRPr="00FA56E1">
        <w:rPr>
          <w:i/>
          <w:iCs/>
          <w:szCs w:val="22"/>
        </w:rPr>
        <w:t xml:space="preserve"> Πλάνο, </w:t>
      </w:r>
      <w:r w:rsidR="005A2A5C" w:rsidRPr="000C7235">
        <w:rPr>
          <w:i/>
          <w:iCs/>
          <w:szCs w:val="22"/>
        </w:rPr>
        <w:t>με στόχο τη</w:t>
      </w:r>
      <w:r w:rsidR="00A75A6D" w:rsidRPr="000C7235">
        <w:rPr>
          <w:i/>
          <w:iCs/>
          <w:szCs w:val="22"/>
        </w:rPr>
        <w:t>ν περαιτέρω</w:t>
      </w:r>
      <w:r w:rsidR="00A75A6D">
        <w:rPr>
          <w:i/>
          <w:iCs/>
          <w:szCs w:val="22"/>
        </w:rPr>
        <w:t xml:space="preserve"> δημιουργία</w:t>
      </w:r>
      <w:r w:rsidR="005A2A5C">
        <w:rPr>
          <w:i/>
          <w:iCs/>
          <w:szCs w:val="22"/>
        </w:rPr>
        <w:t xml:space="preserve"> </w:t>
      </w:r>
      <w:r w:rsidR="007937D5">
        <w:rPr>
          <w:i/>
          <w:iCs/>
          <w:szCs w:val="22"/>
        </w:rPr>
        <w:t xml:space="preserve">αξίας </w:t>
      </w:r>
      <w:r w:rsidR="009067C4" w:rsidRPr="00FA56E1">
        <w:rPr>
          <w:i/>
          <w:iCs/>
          <w:szCs w:val="22"/>
        </w:rPr>
        <w:t>για τους μετόχους μας, τους πελάτες μας και τις χώρες όπου δραστηριοποιούμαστε.»</w:t>
      </w:r>
      <w:r w:rsidR="009067C4" w:rsidRPr="00FA56E1">
        <w:rPr>
          <w:i/>
          <w:iCs/>
          <w:szCs w:val="22"/>
          <w:highlight w:val="yellow"/>
        </w:rPr>
        <w:t xml:space="preserve"> </w:t>
      </w:r>
    </w:p>
    <w:p w14:paraId="02991815" w14:textId="77777777" w:rsidR="00420640" w:rsidRDefault="00420640">
      <w:pPr>
        <w:rPr>
          <w:rFonts w:ascii="Ping LCG Regular" w:hAnsi="Ping LCG Regular"/>
          <w:i/>
          <w:iCs/>
          <w:color w:val="FF0000"/>
          <w:sz w:val="22"/>
          <w:szCs w:val="22"/>
          <w:highlight w:val="yellow"/>
          <w:lang w:val="el-GR"/>
        </w:rPr>
      </w:pPr>
      <w:r w:rsidRPr="00200B6F">
        <w:rPr>
          <w:i/>
          <w:iCs/>
          <w:color w:val="FF0000"/>
          <w:szCs w:val="22"/>
          <w:highlight w:val="yellow"/>
          <w:lang w:val="el-GR"/>
        </w:rPr>
        <w:br w:type="page"/>
      </w:r>
    </w:p>
    <w:p w14:paraId="7C1F44C0" w14:textId="4F2C0435" w:rsidR="007B71E5" w:rsidRPr="005C49F4" w:rsidRDefault="007B71E5" w:rsidP="00583040">
      <w:pPr>
        <w:pStyle w:val="DehPressRelease"/>
        <w:rPr>
          <w:b/>
          <w:bCs/>
          <w:szCs w:val="22"/>
          <w:u w:val="single"/>
        </w:rPr>
      </w:pPr>
      <w:r w:rsidRPr="005C49F4">
        <w:rPr>
          <w:b/>
          <w:bCs/>
          <w:szCs w:val="22"/>
          <w:u w:val="single"/>
        </w:rPr>
        <w:lastRenderedPageBreak/>
        <w:t xml:space="preserve">Περαιτέρω ανάλυση ανά επιχειρηματική δραστηριότητα </w:t>
      </w:r>
    </w:p>
    <w:p w14:paraId="6152717F" w14:textId="77777777" w:rsidR="00246190" w:rsidRPr="005C49F4" w:rsidRDefault="00246190" w:rsidP="00583040">
      <w:pPr>
        <w:pStyle w:val="DehPressRelease"/>
        <w:rPr>
          <w:b/>
          <w:bCs/>
          <w:sz w:val="6"/>
          <w:szCs w:val="6"/>
        </w:rPr>
      </w:pPr>
    </w:p>
    <w:p w14:paraId="0507B641" w14:textId="18431A3E" w:rsidR="00583040" w:rsidRPr="005C49F4" w:rsidRDefault="00583040" w:rsidP="00583040">
      <w:pPr>
        <w:pStyle w:val="DehPressRelease"/>
        <w:rPr>
          <w:b/>
          <w:bCs/>
          <w:szCs w:val="22"/>
        </w:rPr>
      </w:pPr>
      <w:r w:rsidRPr="005C49F4">
        <w:rPr>
          <w:b/>
          <w:bCs/>
          <w:szCs w:val="22"/>
        </w:rPr>
        <w:t xml:space="preserve">Δραστηριότητα Εμπορίας </w:t>
      </w:r>
    </w:p>
    <w:p w14:paraId="13E78F18" w14:textId="075EE856" w:rsidR="00583040" w:rsidRPr="00EF27E4" w:rsidRDefault="00583040" w:rsidP="00583040">
      <w:pPr>
        <w:pStyle w:val="DehPressRelease"/>
        <w:spacing w:after="0"/>
        <w:jc w:val="both"/>
        <w:rPr>
          <w:szCs w:val="22"/>
          <w:highlight w:val="yellow"/>
        </w:rPr>
      </w:pPr>
      <w:r w:rsidRPr="005C49F4">
        <w:rPr>
          <w:szCs w:val="22"/>
        </w:rPr>
        <w:t xml:space="preserve">Η ζήτηση ηλεκτρικής ενέργειας αυξήθηκε </w:t>
      </w:r>
      <w:r w:rsidR="00625535" w:rsidRPr="00E450F5">
        <w:rPr>
          <w:szCs w:val="22"/>
        </w:rPr>
        <w:t xml:space="preserve">τόσο στην Ελλάδα όσο και στη Ρουμανία </w:t>
      </w:r>
      <w:r w:rsidRPr="005C49F4">
        <w:rPr>
          <w:szCs w:val="22"/>
        </w:rPr>
        <w:t xml:space="preserve">κατά </w:t>
      </w:r>
      <w:r w:rsidR="00701515" w:rsidRPr="005C49F4">
        <w:rPr>
          <w:szCs w:val="22"/>
        </w:rPr>
        <w:t>5</w:t>
      </w:r>
      <w:r w:rsidR="00F93D62" w:rsidRPr="005C49F4">
        <w:rPr>
          <w:szCs w:val="22"/>
        </w:rPr>
        <w:t>,</w:t>
      </w:r>
      <w:r w:rsidR="00EF511D">
        <w:rPr>
          <w:szCs w:val="22"/>
        </w:rPr>
        <w:t>4</w:t>
      </w:r>
      <w:r w:rsidRPr="005C49F4">
        <w:rPr>
          <w:szCs w:val="22"/>
        </w:rPr>
        <w:t>%</w:t>
      </w:r>
      <w:r w:rsidRPr="005C49F4">
        <w:rPr>
          <w:rStyle w:val="FootnoteReference"/>
          <w:szCs w:val="22"/>
        </w:rPr>
        <w:footnoteReference w:id="4"/>
      </w:r>
      <w:r w:rsidRPr="005C49F4">
        <w:rPr>
          <w:szCs w:val="22"/>
        </w:rPr>
        <w:t xml:space="preserve"> </w:t>
      </w:r>
      <w:r w:rsidR="00625535">
        <w:rPr>
          <w:szCs w:val="22"/>
        </w:rPr>
        <w:t xml:space="preserve">και </w:t>
      </w:r>
      <w:r w:rsidR="00625535" w:rsidRPr="00637E32">
        <w:rPr>
          <w:szCs w:val="22"/>
        </w:rPr>
        <w:t>κατά 4,2%</w:t>
      </w:r>
      <w:r w:rsidR="00625535" w:rsidRPr="00637E32">
        <w:rPr>
          <w:rStyle w:val="FootnoteReference"/>
          <w:szCs w:val="22"/>
        </w:rPr>
        <w:footnoteReference w:id="5"/>
      </w:r>
      <w:r w:rsidR="00625535" w:rsidRPr="00637E32">
        <w:rPr>
          <w:szCs w:val="22"/>
        </w:rPr>
        <w:t xml:space="preserve"> </w:t>
      </w:r>
      <w:r w:rsidR="00625535">
        <w:rPr>
          <w:szCs w:val="22"/>
        </w:rPr>
        <w:t>αντίστοιχα</w:t>
      </w:r>
      <w:r w:rsidRPr="005C49F4">
        <w:rPr>
          <w:szCs w:val="22"/>
        </w:rPr>
        <w:t xml:space="preserve">, σε σχέση με το </w:t>
      </w:r>
      <w:r w:rsidRPr="00E450F5">
        <w:rPr>
          <w:szCs w:val="22"/>
        </w:rPr>
        <w:t>2023</w:t>
      </w:r>
      <w:r w:rsidR="00625535">
        <w:rPr>
          <w:szCs w:val="22"/>
        </w:rPr>
        <w:t>,</w:t>
      </w:r>
      <w:r w:rsidRPr="00E450F5">
        <w:rPr>
          <w:szCs w:val="22"/>
        </w:rPr>
        <w:t xml:space="preserve"> κυρίως λόγω των θερμότερων καιρικών συνθηκών</w:t>
      </w:r>
      <w:r w:rsidR="00AD6EA1" w:rsidRPr="00E450F5">
        <w:rPr>
          <w:szCs w:val="22"/>
        </w:rPr>
        <w:t xml:space="preserve">, ειδικά κατά τη θερινή περίοδο. </w:t>
      </w:r>
      <w:r w:rsidR="00625535">
        <w:rPr>
          <w:szCs w:val="22"/>
        </w:rPr>
        <w:t xml:space="preserve"> </w:t>
      </w:r>
      <w:r w:rsidRPr="00637E32">
        <w:rPr>
          <w:szCs w:val="22"/>
        </w:rPr>
        <w:t xml:space="preserve"> </w:t>
      </w:r>
    </w:p>
    <w:p w14:paraId="35693707" w14:textId="77777777" w:rsidR="00583040" w:rsidRPr="00EF27E4" w:rsidRDefault="00583040" w:rsidP="00583040">
      <w:pPr>
        <w:pStyle w:val="DehPressRelease"/>
        <w:spacing w:after="0"/>
        <w:jc w:val="both"/>
        <w:rPr>
          <w:szCs w:val="22"/>
          <w:highlight w:val="yellow"/>
        </w:rPr>
      </w:pPr>
    </w:p>
    <w:p w14:paraId="2070E0EF" w14:textId="2B597920" w:rsidR="00583040" w:rsidRPr="00B75ED4" w:rsidRDefault="00583040" w:rsidP="00583040">
      <w:pPr>
        <w:pStyle w:val="DehPressRelease"/>
        <w:spacing w:after="240"/>
        <w:jc w:val="both"/>
        <w:rPr>
          <w:highlight w:val="yellow"/>
        </w:rPr>
      </w:pPr>
      <w:r w:rsidRPr="00195C6B">
        <w:rPr>
          <w:szCs w:val="22"/>
        </w:rPr>
        <w:t>Το μέσο μερίδιο της ΔΕΗ στην αγορά προμήθειας στην Ελλάδα μειώθηκε στο 5</w:t>
      </w:r>
      <w:r w:rsidR="00BA5EB3" w:rsidRPr="000A26D2">
        <w:rPr>
          <w:szCs w:val="22"/>
        </w:rPr>
        <w:t>1</w:t>
      </w:r>
      <w:r w:rsidRPr="00195C6B">
        <w:rPr>
          <w:szCs w:val="22"/>
        </w:rPr>
        <w:t>% το 2024 από 5</w:t>
      </w:r>
      <w:r w:rsidR="00615B3D" w:rsidRPr="00195C6B">
        <w:rPr>
          <w:szCs w:val="22"/>
        </w:rPr>
        <w:t>7</w:t>
      </w:r>
      <w:r w:rsidRPr="00195C6B">
        <w:rPr>
          <w:szCs w:val="22"/>
        </w:rPr>
        <w:t xml:space="preserve">% το </w:t>
      </w:r>
      <w:r w:rsidR="00195C6B" w:rsidRPr="00195C6B">
        <w:rPr>
          <w:szCs w:val="22"/>
        </w:rPr>
        <w:t xml:space="preserve">προηγούμενο </w:t>
      </w:r>
      <w:r w:rsidR="00195C6B" w:rsidRPr="009472E3">
        <w:rPr>
          <w:szCs w:val="22"/>
        </w:rPr>
        <w:t>έτος</w:t>
      </w:r>
      <w:r w:rsidRPr="009472E3">
        <w:rPr>
          <w:szCs w:val="22"/>
        </w:rPr>
        <w:t xml:space="preserve">, κυρίως λόγω της μείωσης του μεριδίου στους πελάτες Υψηλής Τάσης σε συνέχεια της λήξης των </w:t>
      </w:r>
      <w:proofErr w:type="spellStart"/>
      <w:r w:rsidRPr="009472E3">
        <w:rPr>
          <w:szCs w:val="22"/>
        </w:rPr>
        <w:t>προϋπαρχόντων</w:t>
      </w:r>
      <w:proofErr w:type="spellEnd"/>
      <w:r w:rsidRPr="009472E3">
        <w:rPr>
          <w:szCs w:val="22"/>
        </w:rPr>
        <w:t xml:space="preserve"> σταθερών τιμολογίων. </w:t>
      </w:r>
      <w:r w:rsidRPr="00F147A0">
        <w:rPr>
          <w:szCs w:val="22"/>
        </w:rPr>
        <w:t>Στο Διασυνδεδεμένο Σύστημα, το αντίστοιχο μέγεθος μειώθηκε σε 5</w:t>
      </w:r>
      <w:r w:rsidR="00581D24" w:rsidRPr="00F147A0">
        <w:rPr>
          <w:szCs w:val="22"/>
        </w:rPr>
        <w:t>2</w:t>
      </w:r>
      <w:r w:rsidRPr="00F147A0">
        <w:rPr>
          <w:szCs w:val="22"/>
        </w:rPr>
        <w:t xml:space="preserve">% τον </w:t>
      </w:r>
      <w:r w:rsidR="00195C6B" w:rsidRPr="00F147A0">
        <w:rPr>
          <w:szCs w:val="22"/>
        </w:rPr>
        <w:t>Δεκέμβριο</w:t>
      </w:r>
      <w:r w:rsidRPr="00F147A0">
        <w:rPr>
          <w:szCs w:val="22"/>
        </w:rPr>
        <w:t xml:space="preserve"> 2024 (από 5</w:t>
      </w:r>
      <w:r w:rsidR="002C0315" w:rsidRPr="00F147A0">
        <w:rPr>
          <w:szCs w:val="22"/>
        </w:rPr>
        <w:t>6</w:t>
      </w:r>
      <w:r w:rsidRPr="00F147A0">
        <w:rPr>
          <w:szCs w:val="22"/>
        </w:rPr>
        <w:t xml:space="preserve">% τον </w:t>
      </w:r>
      <w:r w:rsidR="002C0315" w:rsidRPr="00F147A0">
        <w:rPr>
          <w:szCs w:val="22"/>
        </w:rPr>
        <w:t>Δεκέμβριο</w:t>
      </w:r>
      <w:r w:rsidRPr="00F147A0">
        <w:rPr>
          <w:szCs w:val="22"/>
        </w:rPr>
        <w:t xml:space="preserve"> 2023), ενώ το μέσο μερίδιο ανά τάση, ήταν </w:t>
      </w:r>
      <w:r w:rsidR="002C0315" w:rsidRPr="00F147A0">
        <w:rPr>
          <w:szCs w:val="22"/>
        </w:rPr>
        <w:t>20</w:t>
      </w:r>
      <w:r w:rsidR="008F2D11" w:rsidRPr="00F147A0">
        <w:rPr>
          <w:szCs w:val="22"/>
        </w:rPr>
        <w:t>,5</w:t>
      </w:r>
      <w:r w:rsidRPr="00F147A0">
        <w:rPr>
          <w:szCs w:val="22"/>
        </w:rPr>
        <w:t xml:space="preserve">% (από </w:t>
      </w:r>
      <w:r w:rsidR="00C23F72" w:rsidRPr="00F147A0">
        <w:rPr>
          <w:szCs w:val="22"/>
        </w:rPr>
        <w:t>4</w:t>
      </w:r>
      <w:r w:rsidR="008F2D11" w:rsidRPr="00F147A0">
        <w:rPr>
          <w:szCs w:val="22"/>
        </w:rPr>
        <w:t>8</w:t>
      </w:r>
      <w:r w:rsidRPr="00F147A0">
        <w:rPr>
          <w:szCs w:val="22"/>
        </w:rPr>
        <w:t xml:space="preserve">%) στην Υψηλή Τάση, </w:t>
      </w:r>
      <w:r w:rsidR="008F2D11" w:rsidRPr="00F147A0">
        <w:rPr>
          <w:szCs w:val="22"/>
        </w:rPr>
        <w:t>40,</w:t>
      </w:r>
      <w:r w:rsidR="003B62BB" w:rsidRPr="00733EBD">
        <w:rPr>
          <w:szCs w:val="22"/>
        </w:rPr>
        <w:t>7</w:t>
      </w:r>
      <w:r w:rsidRPr="00F147A0">
        <w:rPr>
          <w:szCs w:val="22"/>
        </w:rPr>
        <w:t xml:space="preserve">% (από </w:t>
      </w:r>
      <w:r w:rsidR="008F2D11" w:rsidRPr="00F147A0">
        <w:rPr>
          <w:szCs w:val="22"/>
        </w:rPr>
        <w:t>40,7</w:t>
      </w:r>
      <w:r w:rsidRPr="00F147A0">
        <w:rPr>
          <w:szCs w:val="22"/>
        </w:rPr>
        <w:t>%) στη Μέση Τάση και 6</w:t>
      </w:r>
      <w:r w:rsidR="00F147A0" w:rsidRPr="00F147A0">
        <w:rPr>
          <w:szCs w:val="22"/>
        </w:rPr>
        <w:t>2,4</w:t>
      </w:r>
      <w:r w:rsidR="002C2BC7" w:rsidRPr="009160C7">
        <w:rPr>
          <w:szCs w:val="22"/>
        </w:rPr>
        <w:t>%</w:t>
      </w:r>
      <w:r w:rsidRPr="00F147A0">
        <w:rPr>
          <w:szCs w:val="22"/>
        </w:rPr>
        <w:t xml:space="preserve"> (από 6</w:t>
      </w:r>
      <w:r w:rsidR="00F147A0" w:rsidRPr="00F147A0">
        <w:rPr>
          <w:szCs w:val="22"/>
        </w:rPr>
        <w:t>3,2</w:t>
      </w:r>
      <w:r w:rsidRPr="00F147A0">
        <w:rPr>
          <w:szCs w:val="22"/>
        </w:rPr>
        <w:t>%) στη Χαμηλή Τάση</w:t>
      </w:r>
      <w:r w:rsidRPr="00F63DC1">
        <w:rPr>
          <w:szCs w:val="22"/>
          <w:vertAlign w:val="superscript"/>
        </w:rPr>
        <w:footnoteReference w:id="6"/>
      </w:r>
      <w:r w:rsidRPr="00F63DC1">
        <w:rPr>
          <w:szCs w:val="22"/>
        </w:rPr>
        <w:t>. Στη Ρουμανία, το μέσο μερίδιο της ΔΕΗ στις πωλήσεις ηλεκτρικής ενέργειας διαμορφώθηκε στο 1</w:t>
      </w:r>
      <w:r w:rsidR="00541FF8" w:rsidRPr="00F63DC1">
        <w:rPr>
          <w:szCs w:val="22"/>
        </w:rPr>
        <w:t>6</w:t>
      </w:r>
      <w:r w:rsidRPr="00F63DC1">
        <w:rPr>
          <w:szCs w:val="22"/>
        </w:rPr>
        <w:t>%</w:t>
      </w:r>
      <w:r w:rsidRPr="00F63DC1">
        <w:rPr>
          <w:vertAlign w:val="superscript"/>
        </w:rPr>
        <w:footnoteReference w:id="7"/>
      </w:r>
      <w:r w:rsidRPr="00F63DC1">
        <w:rPr>
          <w:szCs w:val="22"/>
        </w:rPr>
        <w:t>.</w:t>
      </w:r>
    </w:p>
    <w:p w14:paraId="2571FF0D" w14:textId="77777777" w:rsidR="00583040" w:rsidRPr="00EF27E4" w:rsidRDefault="00583040" w:rsidP="00583040">
      <w:pPr>
        <w:rPr>
          <w:rFonts w:ascii="Ping LCG Regular" w:hAnsi="Ping LCG Regular"/>
          <w:b/>
          <w:bCs/>
          <w:sz w:val="22"/>
          <w:szCs w:val="22"/>
          <w:highlight w:val="yellow"/>
          <w:lang w:val="el-GR"/>
        </w:rPr>
      </w:pPr>
    </w:p>
    <w:p w14:paraId="2152617A" w14:textId="77777777" w:rsidR="00583040" w:rsidRPr="00242D2B" w:rsidRDefault="00583040" w:rsidP="00583040">
      <w:pPr>
        <w:pStyle w:val="DehPressRelease"/>
        <w:spacing w:line="240" w:lineRule="auto"/>
        <w:jc w:val="both"/>
        <w:rPr>
          <w:b/>
          <w:bCs/>
          <w:szCs w:val="22"/>
        </w:rPr>
      </w:pPr>
      <w:r w:rsidRPr="00242D2B">
        <w:rPr>
          <w:b/>
          <w:bCs/>
          <w:szCs w:val="22"/>
        </w:rPr>
        <w:t>Δραστηριότητα Παραγωγής</w:t>
      </w:r>
    </w:p>
    <w:p w14:paraId="7072514C" w14:textId="43A804E6" w:rsidR="00583040" w:rsidRPr="001163D9" w:rsidRDefault="00583040" w:rsidP="00583040">
      <w:pPr>
        <w:pStyle w:val="DehPressRelease"/>
        <w:jc w:val="both"/>
        <w:rPr>
          <w:szCs w:val="22"/>
        </w:rPr>
      </w:pPr>
      <w:r w:rsidRPr="00B739D5">
        <w:rPr>
          <w:szCs w:val="22"/>
        </w:rPr>
        <w:t>Στην παραγωγή ηλεκτρικής ενέργειας, το μέσο μερίδιο της ΔΕΗ στην Ελλάδα μειώθηκε σε 3</w:t>
      </w:r>
      <w:r w:rsidR="00FF79C4" w:rsidRPr="00733EBD">
        <w:rPr>
          <w:szCs w:val="22"/>
        </w:rPr>
        <w:t>4</w:t>
      </w:r>
      <w:r w:rsidRPr="00B739D5">
        <w:rPr>
          <w:szCs w:val="22"/>
        </w:rPr>
        <w:t xml:space="preserve">% το 2024 από </w:t>
      </w:r>
      <w:r w:rsidR="00C15D2B" w:rsidRPr="00B739D5">
        <w:rPr>
          <w:szCs w:val="22"/>
        </w:rPr>
        <w:t>40</w:t>
      </w:r>
      <w:r w:rsidRPr="00B739D5">
        <w:rPr>
          <w:szCs w:val="22"/>
        </w:rPr>
        <w:t xml:space="preserve">% το 2023. Η μείωση οφείλεται </w:t>
      </w:r>
      <w:r w:rsidR="005A1131">
        <w:rPr>
          <w:szCs w:val="22"/>
        </w:rPr>
        <w:t xml:space="preserve">κυρίως </w:t>
      </w:r>
      <w:r w:rsidRPr="00B739D5">
        <w:rPr>
          <w:szCs w:val="22"/>
        </w:rPr>
        <w:t xml:space="preserve">στη χαμηλότερη παραγωγή από </w:t>
      </w:r>
      <w:proofErr w:type="spellStart"/>
      <w:r w:rsidRPr="00B739D5">
        <w:rPr>
          <w:szCs w:val="22"/>
        </w:rPr>
        <w:t>λιγνιτικές</w:t>
      </w:r>
      <w:proofErr w:type="spellEnd"/>
      <w:r w:rsidRPr="00B739D5">
        <w:rPr>
          <w:szCs w:val="22"/>
        </w:rPr>
        <w:t xml:space="preserve"> μονάδες </w:t>
      </w:r>
      <w:r w:rsidR="00145DA2" w:rsidRPr="00B739D5">
        <w:rPr>
          <w:szCs w:val="22"/>
        </w:rPr>
        <w:t xml:space="preserve">λόγω </w:t>
      </w:r>
      <w:r w:rsidR="009A7AE1" w:rsidRPr="00B739D5">
        <w:rPr>
          <w:szCs w:val="22"/>
        </w:rPr>
        <w:t xml:space="preserve">της σταδιακής </w:t>
      </w:r>
      <w:proofErr w:type="spellStart"/>
      <w:r w:rsidR="009A7AE1" w:rsidRPr="00B739D5">
        <w:rPr>
          <w:szCs w:val="22"/>
        </w:rPr>
        <w:t>απολιγνιτοποίησης</w:t>
      </w:r>
      <w:proofErr w:type="spellEnd"/>
      <w:r w:rsidR="009A7AE1" w:rsidRPr="00B739D5">
        <w:rPr>
          <w:szCs w:val="22"/>
        </w:rPr>
        <w:t xml:space="preserve"> του ενεργειακού μείγματος της ΔΕΗ μέχρι το </w:t>
      </w:r>
      <w:r w:rsidR="009A7AE1" w:rsidRPr="00007361">
        <w:rPr>
          <w:szCs w:val="22"/>
        </w:rPr>
        <w:t>2026</w:t>
      </w:r>
      <w:r w:rsidRPr="00007361">
        <w:rPr>
          <w:szCs w:val="22"/>
        </w:rPr>
        <w:t xml:space="preserve">. Στη Ρουμανία, το μέσο μερίδιο της ΔΕΗ στην παραγωγή από ΑΠΕ (αιολικά/ηλιακά) </w:t>
      </w:r>
      <w:r w:rsidR="005C5A30">
        <w:rPr>
          <w:szCs w:val="22"/>
        </w:rPr>
        <w:t>αυξήθηκε σε 16%</w:t>
      </w:r>
      <w:r w:rsidR="007D57B1">
        <w:rPr>
          <w:szCs w:val="22"/>
        </w:rPr>
        <w:t xml:space="preserve"> από 14% το 2023.</w:t>
      </w:r>
    </w:p>
    <w:p w14:paraId="6CA5B17D" w14:textId="35C9C8EA" w:rsidR="00583040" w:rsidRPr="00A41FB0" w:rsidRDefault="00EA19F7" w:rsidP="00583040">
      <w:pPr>
        <w:pStyle w:val="DehPressRelease"/>
        <w:jc w:val="both"/>
        <w:rPr>
          <w:szCs w:val="22"/>
        </w:rPr>
      </w:pPr>
      <w:r w:rsidRPr="00A41FB0">
        <w:rPr>
          <w:szCs w:val="22"/>
        </w:rPr>
        <w:t>Η βελτίωση του μείγματος παραγωγής ηλεκτρικής ενέργειας αντανακλάται και στη</w:t>
      </w:r>
      <w:r w:rsidR="00BA172F">
        <w:rPr>
          <w:szCs w:val="22"/>
        </w:rPr>
        <w:t>ν ελαφρά</w:t>
      </w:r>
      <w:r w:rsidR="00583040" w:rsidRPr="00A41FB0">
        <w:rPr>
          <w:szCs w:val="22"/>
        </w:rPr>
        <w:t xml:space="preserve"> βελτίωση της έντασης εκπομπών </w:t>
      </w:r>
      <w:r w:rsidR="00583040" w:rsidRPr="00A41FB0">
        <w:rPr>
          <w:szCs w:val="22"/>
          <w:lang w:val="en-US"/>
        </w:rPr>
        <w:t>CO</w:t>
      </w:r>
      <w:r w:rsidR="00583040" w:rsidRPr="00A41FB0">
        <w:rPr>
          <w:szCs w:val="22"/>
          <w:vertAlign w:val="subscript"/>
        </w:rPr>
        <w:t>2</w:t>
      </w:r>
      <w:r w:rsidR="00583040" w:rsidRPr="00A41FB0">
        <w:rPr>
          <w:szCs w:val="22"/>
        </w:rPr>
        <w:t xml:space="preserve"> σε 0,4</w:t>
      </w:r>
      <w:r w:rsidR="00144CEF">
        <w:rPr>
          <w:szCs w:val="22"/>
        </w:rPr>
        <w:t>9</w:t>
      </w:r>
      <w:r w:rsidR="00583040" w:rsidRPr="00A41FB0">
        <w:rPr>
          <w:szCs w:val="22"/>
        </w:rPr>
        <w:t xml:space="preserve"> τόνους ανά παραγόμενη </w:t>
      </w:r>
      <w:r w:rsidR="00583040" w:rsidRPr="00A41FB0">
        <w:rPr>
          <w:szCs w:val="22"/>
          <w:lang w:val="en-US"/>
        </w:rPr>
        <w:t>MWh</w:t>
      </w:r>
      <w:r w:rsidR="00583040" w:rsidRPr="00A41FB0">
        <w:rPr>
          <w:szCs w:val="22"/>
        </w:rPr>
        <w:t xml:space="preserve"> από 0,5</w:t>
      </w:r>
      <w:r w:rsidR="00144CEF">
        <w:rPr>
          <w:szCs w:val="22"/>
        </w:rPr>
        <w:t>0</w:t>
      </w:r>
      <w:r w:rsidR="00583040" w:rsidRPr="00A41FB0">
        <w:rPr>
          <w:szCs w:val="22"/>
        </w:rPr>
        <w:t xml:space="preserve"> τόνους ανά παραγόμενη </w:t>
      </w:r>
      <w:r w:rsidR="00583040" w:rsidRPr="00A41FB0">
        <w:rPr>
          <w:szCs w:val="22"/>
          <w:lang w:val="en-US"/>
        </w:rPr>
        <w:t>MWh</w:t>
      </w:r>
      <w:r w:rsidR="00583040" w:rsidRPr="00A41FB0">
        <w:rPr>
          <w:szCs w:val="22"/>
        </w:rPr>
        <w:t xml:space="preserve"> το 2023.</w:t>
      </w:r>
    </w:p>
    <w:p w14:paraId="2B97035E" w14:textId="77777777" w:rsidR="00583040" w:rsidRPr="00AD26F1" w:rsidRDefault="00583040" w:rsidP="00583040">
      <w:pPr>
        <w:pStyle w:val="DehPressRelease"/>
        <w:jc w:val="both"/>
        <w:rPr>
          <w:szCs w:val="22"/>
        </w:rPr>
      </w:pPr>
    </w:p>
    <w:p w14:paraId="5B6909D5" w14:textId="77777777" w:rsidR="00583040" w:rsidRPr="00AD26F1" w:rsidRDefault="00583040" w:rsidP="00583040">
      <w:pPr>
        <w:pStyle w:val="DehPressRelease"/>
        <w:spacing w:line="240" w:lineRule="auto"/>
        <w:jc w:val="both"/>
        <w:rPr>
          <w:b/>
          <w:bCs/>
          <w:szCs w:val="22"/>
        </w:rPr>
      </w:pPr>
      <w:r w:rsidRPr="00AD26F1">
        <w:rPr>
          <w:b/>
          <w:bCs/>
          <w:szCs w:val="22"/>
        </w:rPr>
        <w:t xml:space="preserve">Δραστηριότητα Διανομής </w:t>
      </w:r>
      <w:r w:rsidRPr="00AD26F1">
        <w:rPr>
          <w:b/>
          <w:bCs/>
          <w:color w:val="FF0000"/>
          <w:szCs w:val="22"/>
        </w:rPr>
        <w:t xml:space="preserve"> </w:t>
      </w:r>
    </w:p>
    <w:p w14:paraId="670246C4" w14:textId="2AC6E1C0" w:rsidR="00C778FB" w:rsidRPr="007D69E7" w:rsidRDefault="00F43860" w:rsidP="00190EFD">
      <w:pPr>
        <w:pStyle w:val="DehPressRelease"/>
        <w:jc w:val="both"/>
        <w:rPr>
          <w:szCs w:val="22"/>
        </w:rPr>
      </w:pPr>
      <w:r w:rsidRPr="00AF1D44">
        <w:rPr>
          <w:szCs w:val="22"/>
        </w:rPr>
        <w:t xml:space="preserve">Μεγάλο μέρος των </w:t>
      </w:r>
      <w:r w:rsidR="00B24F1F" w:rsidRPr="00AF1D44">
        <w:rPr>
          <w:szCs w:val="22"/>
        </w:rPr>
        <w:t>επενδύσεών</w:t>
      </w:r>
      <w:r w:rsidRPr="00AF1D44">
        <w:rPr>
          <w:szCs w:val="22"/>
        </w:rPr>
        <w:t xml:space="preserve"> μας</w:t>
      </w:r>
      <w:r w:rsidR="00B24F1F" w:rsidRPr="00AF1D44">
        <w:rPr>
          <w:szCs w:val="22"/>
        </w:rPr>
        <w:t xml:space="preserve"> </w:t>
      </w:r>
      <w:r w:rsidR="00C778FB" w:rsidRPr="00AF1D44">
        <w:rPr>
          <w:szCs w:val="22"/>
        </w:rPr>
        <w:t xml:space="preserve">για ένα ακόμη έτος </w:t>
      </w:r>
      <w:r w:rsidR="00905769" w:rsidRPr="00AF1D44">
        <w:rPr>
          <w:szCs w:val="22"/>
        </w:rPr>
        <w:t xml:space="preserve">χρησιμοποιήθηκε για </w:t>
      </w:r>
      <w:r w:rsidR="000C4A38" w:rsidRPr="00AF1D44">
        <w:rPr>
          <w:szCs w:val="22"/>
        </w:rPr>
        <w:t>τ</w:t>
      </w:r>
      <w:r w:rsidR="00B24F1F" w:rsidRPr="00AF1D44">
        <w:rPr>
          <w:szCs w:val="22"/>
        </w:rPr>
        <w:t>ον εκσυγχρονισμό</w:t>
      </w:r>
      <w:r w:rsidR="00CB507E" w:rsidRPr="00AF1D44">
        <w:rPr>
          <w:szCs w:val="22"/>
        </w:rPr>
        <w:t xml:space="preserve"> και την </w:t>
      </w:r>
      <w:proofErr w:type="spellStart"/>
      <w:r w:rsidR="00CB507E" w:rsidRPr="00AF1D44">
        <w:rPr>
          <w:szCs w:val="22"/>
        </w:rPr>
        <w:t>ψηφιοποίηση</w:t>
      </w:r>
      <w:proofErr w:type="spellEnd"/>
      <w:r w:rsidR="00B24F1F" w:rsidRPr="00AF1D44">
        <w:rPr>
          <w:szCs w:val="22"/>
        </w:rPr>
        <w:t xml:space="preserve"> τ</w:t>
      </w:r>
      <w:r w:rsidR="00CB507E" w:rsidRPr="00AF1D44">
        <w:rPr>
          <w:szCs w:val="22"/>
        </w:rPr>
        <w:t>ων Δικτύων Διανομής σε Ελλάδα και Ρουμανία</w:t>
      </w:r>
      <w:r w:rsidR="003F5863" w:rsidRPr="00AF1D44">
        <w:rPr>
          <w:szCs w:val="22"/>
        </w:rPr>
        <w:t xml:space="preserve">. Συγκεκριμένα, οι </w:t>
      </w:r>
      <w:r w:rsidR="00B85773" w:rsidRPr="00AF1D44">
        <w:rPr>
          <w:szCs w:val="22"/>
        </w:rPr>
        <w:t>επενδύσεις στην εν λόγω δραστηριότητα</w:t>
      </w:r>
      <w:r w:rsidR="000C0F50" w:rsidRPr="00AF1D44">
        <w:rPr>
          <w:szCs w:val="22"/>
        </w:rPr>
        <w:t xml:space="preserve"> </w:t>
      </w:r>
      <w:r w:rsidR="00B75814" w:rsidRPr="00AF1D44">
        <w:rPr>
          <w:szCs w:val="22"/>
        </w:rPr>
        <w:t>ανήλθαν</w:t>
      </w:r>
      <w:r w:rsidR="00554D16" w:rsidRPr="00AF1D44">
        <w:rPr>
          <w:szCs w:val="22"/>
        </w:rPr>
        <w:t xml:space="preserve"> σε €</w:t>
      </w:r>
      <w:r w:rsidR="00C237CF" w:rsidRPr="00AF1D44">
        <w:rPr>
          <w:szCs w:val="22"/>
        </w:rPr>
        <w:t>1</w:t>
      </w:r>
      <w:r w:rsidR="009B1E3C" w:rsidRPr="00AF1D44">
        <w:rPr>
          <w:szCs w:val="22"/>
        </w:rPr>
        <w:t xml:space="preserve"> </w:t>
      </w:r>
      <w:r w:rsidR="00C237CF" w:rsidRPr="00AF1D44">
        <w:rPr>
          <w:szCs w:val="22"/>
        </w:rPr>
        <w:t>δισ.</w:t>
      </w:r>
      <w:r w:rsidR="00554D16" w:rsidRPr="00AF1D44">
        <w:rPr>
          <w:szCs w:val="22"/>
        </w:rPr>
        <w:t xml:space="preserve"> το 2024, </w:t>
      </w:r>
      <w:r w:rsidR="00B85773" w:rsidRPr="00AF1D44">
        <w:rPr>
          <w:szCs w:val="22"/>
        </w:rPr>
        <w:t xml:space="preserve">και συνέβαλαν στην </w:t>
      </w:r>
      <w:r w:rsidR="00C778FB" w:rsidRPr="00AF1D44">
        <w:rPr>
          <w:szCs w:val="22"/>
        </w:rPr>
        <w:t xml:space="preserve">αύξηση της Ρυθμιζόμενης Περιουσιακής Βάσης </w:t>
      </w:r>
      <w:r w:rsidR="00D2287E" w:rsidRPr="00AF1D44">
        <w:rPr>
          <w:szCs w:val="22"/>
        </w:rPr>
        <w:t>σε €4,9 δι</w:t>
      </w:r>
      <w:r w:rsidR="00E246E5" w:rsidRPr="00AF1D44">
        <w:rPr>
          <w:szCs w:val="22"/>
        </w:rPr>
        <w:t>σ</w:t>
      </w:r>
      <w:r w:rsidR="00CC12AD" w:rsidRPr="00AF1D44">
        <w:rPr>
          <w:szCs w:val="22"/>
        </w:rPr>
        <w:t>.</w:t>
      </w:r>
      <w:r w:rsidR="000A26FF" w:rsidRPr="00AF1D44">
        <w:rPr>
          <w:szCs w:val="22"/>
        </w:rPr>
        <w:t xml:space="preserve"> (+</w:t>
      </w:r>
      <w:r w:rsidR="00C778FB" w:rsidRPr="00AF1D44">
        <w:rPr>
          <w:szCs w:val="22"/>
        </w:rPr>
        <w:t xml:space="preserve"> €0,6 δι</w:t>
      </w:r>
      <w:r w:rsidR="00CC12AD" w:rsidRPr="00AF1D44">
        <w:rPr>
          <w:szCs w:val="22"/>
        </w:rPr>
        <w:t>σ.</w:t>
      </w:r>
      <w:r w:rsidR="000A26FF" w:rsidRPr="00AF1D44">
        <w:rPr>
          <w:szCs w:val="22"/>
        </w:rPr>
        <w:t>)</w:t>
      </w:r>
      <w:r w:rsidR="00C778FB" w:rsidRPr="00AF1D44">
        <w:rPr>
          <w:szCs w:val="22"/>
        </w:rPr>
        <w:t>.</w:t>
      </w:r>
      <w:r w:rsidR="00C778FB" w:rsidRPr="002261A7">
        <w:rPr>
          <w:szCs w:val="22"/>
        </w:rPr>
        <w:t xml:space="preserve"> </w:t>
      </w:r>
    </w:p>
    <w:p w14:paraId="28908407" w14:textId="77777777" w:rsidR="00C778FB" w:rsidRPr="00EF27E4" w:rsidRDefault="00C778FB" w:rsidP="00AE6FB4">
      <w:pPr>
        <w:pStyle w:val="DehPressRelease"/>
        <w:jc w:val="both"/>
        <w:rPr>
          <w:szCs w:val="22"/>
          <w:highlight w:val="yellow"/>
        </w:rPr>
      </w:pPr>
    </w:p>
    <w:p w14:paraId="61E8731E" w14:textId="77777777" w:rsidR="00C97267" w:rsidRPr="008A2C49" w:rsidRDefault="00C97267" w:rsidP="00AE6FB4">
      <w:pPr>
        <w:pStyle w:val="DehPressRelease"/>
        <w:jc w:val="both"/>
        <w:rPr>
          <w:szCs w:val="22"/>
          <w:highlight w:val="yellow"/>
        </w:rPr>
      </w:pPr>
    </w:p>
    <w:p w14:paraId="287328AC" w14:textId="07AD95BB" w:rsidR="00C97267" w:rsidRPr="00FA56E1" w:rsidRDefault="00970479" w:rsidP="00663309">
      <w:pPr>
        <w:pStyle w:val="DehPressRelease"/>
        <w:jc w:val="both"/>
        <w:rPr>
          <w:szCs w:val="22"/>
        </w:rPr>
      </w:pPr>
      <w:r w:rsidRPr="000A26D2">
        <w:rPr>
          <w:szCs w:val="22"/>
        </w:rPr>
        <w:lastRenderedPageBreak/>
        <w:t>Η μεγάλη αύξηση των επενδύσεων</w:t>
      </w:r>
      <w:r w:rsidR="00095AFB">
        <w:rPr>
          <w:szCs w:val="22"/>
        </w:rPr>
        <w:t xml:space="preserve"> τα τελευταία χρόνια, έχει συμβάλει και στην βελτίωση των δεικτών αξιοπιστίας</w:t>
      </w:r>
      <w:r w:rsidR="00663309">
        <w:rPr>
          <w:szCs w:val="22"/>
        </w:rPr>
        <w:t xml:space="preserve"> και στις δύο χώρες που </w:t>
      </w:r>
      <w:r w:rsidR="00663309" w:rsidRPr="00FA56E1">
        <w:rPr>
          <w:szCs w:val="22"/>
        </w:rPr>
        <w:t>δραστηριοποιείται η ΔΕΗ</w:t>
      </w:r>
      <w:r w:rsidR="00663309">
        <w:rPr>
          <w:szCs w:val="22"/>
        </w:rPr>
        <w:t xml:space="preserve"> με </w:t>
      </w:r>
      <w:r w:rsidR="00663309" w:rsidRPr="00FA56E1">
        <w:rPr>
          <w:szCs w:val="22"/>
        </w:rPr>
        <w:t xml:space="preserve">τον </w:t>
      </w:r>
      <w:r w:rsidR="007A4A06" w:rsidRPr="00FA56E1">
        <w:rPr>
          <w:szCs w:val="22"/>
        </w:rPr>
        <w:t xml:space="preserve">δείκτη </w:t>
      </w:r>
      <w:r w:rsidR="007A4A06" w:rsidRPr="00FA56E1">
        <w:rPr>
          <w:szCs w:val="22"/>
          <w:lang w:val="en-US"/>
        </w:rPr>
        <w:t>SAIDI</w:t>
      </w:r>
      <w:r w:rsidR="007A4A06" w:rsidRPr="00FA56E1">
        <w:rPr>
          <w:szCs w:val="22"/>
        </w:rPr>
        <w:t xml:space="preserve"> </w:t>
      </w:r>
      <w:r w:rsidR="00663309" w:rsidRPr="00FA56E1">
        <w:rPr>
          <w:szCs w:val="22"/>
        </w:rPr>
        <w:t xml:space="preserve">να μειώνεται </w:t>
      </w:r>
      <w:r w:rsidR="007A4A06" w:rsidRPr="00FA56E1">
        <w:rPr>
          <w:szCs w:val="22"/>
        </w:rPr>
        <w:t xml:space="preserve">στα </w:t>
      </w:r>
      <w:r w:rsidR="00231333" w:rsidRPr="00FA56E1">
        <w:rPr>
          <w:szCs w:val="22"/>
        </w:rPr>
        <w:t>132 λεπτά</w:t>
      </w:r>
      <w:r w:rsidR="00597496" w:rsidRPr="00FA56E1">
        <w:rPr>
          <w:szCs w:val="22"/>
        </w:rPr>
        <w:t xml:space="preserve"> (από 134 λεπτά) στην Ελλάδα και στα </w:t>
      </w:r>
      <w:r w:rsidR="006E47F2" w:rsidRPr="00FA56E1">
        <w:rPr>
          <w:szCs w:val="22"/>
        </w:rPr>
        <w:t>82</w:t>
      </w:r>
      <w:r w:rsidR="00597496" w:rsidRPr="00FA56E1">
        <w:rPr>
          <w:szCs w:val="22"/>
        </w:rPr>
        <w:t xml:space="preserve"> λεπτά (από </w:t>
      </w:r>
      <w:r w:rsidR="00AF4015" w:rsidRPr="009160C7">
        <w:rPr>
          <w:szCs w:val="22"/>
        </w:rPr>
        <w:t>90</w:t>
      </w:r>
      <w:r w:rsidR="00597496" w:rsidRPr="00FA56E1">
        <w:rPr>
          <w:szCs w:val="22"/>
        </w:rPr>
        <w:t xml:space="preserve"> λεπτά) στη</w:t>
      </w:r>
      <w:r w:rsidR="00B40F3B" w:rsidRPr="00FA56E1">
        <w:rPr>
          <w:szCs w:val="22"/>
        </w:rPr>
        <w:t>ν</w:t>
      </w:r>
      <w:r w:rsidR="00597496" w:rsidRPr="00FA56E1">
        <w:rPr>
          <w:szCs w:val="22"/>
        </w:rPr>
        <w:t xml:space="preserve"> Ρουμανία</w:t>
      </w:r>
      <w:r w:rsidR="00B40F3B" w:rsidRPr="00FA56E1">
        <w:rPr>
          <w:szCs w:val="22"/>
        </w:rPr>
        <w:t xml:space="preserve">. </w:t>
      </w:r>
      <w:r w:rsidR="00B40F3B" w:rsidRPr="000A26D2">
        <w:rPr>
          <w:szCs w:val="22"/>
        </w:rPr>
        <w:t xml:space="preserve">Ο δείκτης </w:t>
      </w:r>
      <w:r w:rsidR="00B40F3B" w:rsidRPr="000A26D2">
        <w:rPr>
          <w:szCs w:val="22"/>
          <w:lang w:val="en-US"/>
        </w:rPr>
        <w:t>SAIFI</w:t>
      </w:r>
      <w:r w:rsidR="00B40F3B" w:rsidRPr="000A26D2">
        <w:rPr>
          <w:szCs w:val="22"/>
        </w:rPr>
        <w:t xml:space="preserve"> μειώθηκε στην </w:t>
      </w:r>
      <w:r w:rsidR="00F20AD8" w:rsidRPr="000A26D2">
        <w:rPr>
          <w:szCs w:val="22"/>
        </w:rPr>
        <w:t>Ελλάδα</w:t>
      </w:r>
      <w:r w:rsidR="00B40F3B" w:rsidRPr="000A26D2">
        <w:rPr>
          <w:szCs w:val="22"/>
        </w:rPr>
        <w:t xml:space="preserve"> </w:t>
      </w:r>
      <w:r w:rsidR="00BD597F" w:rsidRPr="000A26D2">
        <w:rPr>
          <w:szCs w:val="22"/>
        </w:rPr>
        <w:t>σε</w:t>
      </w:r>
      <w:r w:rsidR="00063DA7" w:rsidRPr="000A26D2">
        <w:rPr>
          <w:szCs w:val="22"/>
        </w:rPr>
        <w:t xml:space="preserve"> 1,</w:t>
      </w:r>
      <w:r w:rsidR="00BD597F" w:rsidRPr="000A26D2">
        <w:rPr>
          <w:szCs w:val="22"/>
        </w:rPr>
        <w:t>7</w:t>
      </w:r>
      <w:r w:rsidR="00063DA7" w:rsidRPr="000A26D2">
        <w:rPr>
          <w:szCs w:val="22"/>
        </w:rPr>
        <w:t xml:space="preserve"> φορές </w:t>
      </w:r>
      <w:r w:rsidR="00BD597F" w:rsidRPr="000A26D2">
        <w:rPr>
          <w:szCs w:val="22"/>
        </w:rPr>
        <w:t xml:space="preserve">(από </w:t>
      </w:r>
      <w:r w:rsidR="00063DA7" w:rsidRPr="000A26D2">
        <w:rPr>
          <w:szCs w:val="22"/>
        </w:rPr>
        <w:t>1,</w:t>
      </w:r>
      <w:r w:rsidR="00BD597F" w:rsidRPr="000A26D2">
        <w:rPr>
          <w:szCs w:val="22"/>
        </w:rPr>
        <w:t>8</w:t>
      </w:r>
      <w:r w:rsidR="00063DA7" w:rsidRPr="000A26D2">
        <w:rPr>
          <w:szCs w:val="22"/>
        </w:rPr>
        <w:t xml:space="preserve"> φορές</w:t>
      </w:r>
      <w:r w:rsidR="00BD597F" w:rsidRPr="000A26D2">
        <w:rPr>
          <w:szCs w:val="22"/>
        </w:rPr>
        <w:t>)</w:t>
      </w:r>
      <w:r w:rsidR="00063DA7" w:rsidRPr="000A26D2">
        <w:rPr>
          <w:szCs w:val="22"/>
        </w:rPr>
        <w:t xml:space="preserve"> και στη Ρουμανία </w:t>
      </w:r>
      <w:r w:rsidR="000700FC" w:rsidRPr="000A26D2">
        <w:rPr>
          <w:szCs w:val="22"/>
        </w:rPr>
        <w:t xml:space="preserve">σε </w:t>
      </w:r>
      <w:r w:rsidR="009E5B0F" w:rsidRPr="000A26D2">
        <w:rPr>
          <w:szCs w:val="22"/>
        </w:rPr>
        <w:t>2,3</w:t>
      </w:r>
      <w:r w:rsidR="000700FC" w:rsidRPr="000A26D2">
        <w:rPr>
          <w:szCs w:val="22"/>
        </w:rPr>
        <w:t xml:space="preserve"> φορές (από 2,5 φορές)</w:t>
      </w:r>
      <w:r w:rsidR="00F20AD8" w:rsidRPr="000A26D2">
        <w:rPr>
          <w:szCs w:val="22"/>
        </w:rPr>
        <w:t>.</w:t>
      </w:r>
    </w:p>
    <w:p w14:paraId="5BD686BA" w14:textId="0480E3BB" w:rsidR="00AE6FB4" w:rsidRPr="000A26D2" w:rsidRDefault="00AE6FB4" w:rsidP="00AE6FB4">
      <w:pPr>
        <w:pStyle w:val="DehPressRelease"/>
        <w:jc w:val="both"/>
        <w:rPr>
          <w:szCs w:val="22"/>
        </w:rPr>
      </w:pPr>
      <w:r w:rsidRPr="000A26D2">
        <w:rPr>
          <w:szCs w:val="22"/>
        </w:rPr>
        <w:t xml:space="preserve">Η ενσωμάτωση των σταθμών ΑΠΕ στα δίκτυα Διανομής σε Ελλάδα και Ρουμανία </w:t>
      </w:r>
      <w:r w:rsidR="00514F68">
        <w:rPr>
          <w:szCs w:val="22"/>
        </w:rPr>
        <w:t>συνεχίστηκε</w:t>
      </w:r>
      <w:r w:rsidR="00514F68" w:rsidRPr="000A26D2">
        <w:rPr>
          <w:szCs w:val="22"/>
        </w:rPr>
        <w:t xml:space="preserve"> </w:t>
      </w:r>
      <w:r w:rsidRPr="000A26D2">
        <w:rPr>
          <w:szCs w:val="22"/>
        </w:rPr>
        <w:t xml:space="preserve">με καλό ρυθμό στο 2024, για μικρότερες εγκαταστάσεις ανά πελάτη, καλύπτοντας κυρίως την </w:t>
      </w:r>
      <w:proofErr w:type="spellStart"/>
      <w:r w:rsidRPr="000A26D2">
        <w:rPr>
          <w:szCs w:val="22"/>
        </w:rPr>
        <w:t>ιδιοκατανάλωση</w:t>
      </w:r>
      <w:proofErr w:type="spellEnd"/>
      <w:r w:rsidRPr="000A26D2">
        <w:rPr>
          <w:szCs w:val="22"/>
        </w:rPr>
        <w:t>.</w:t>
      </w:r>
    </w:p>
    <w:p w14:paraId="7147CCD2" w14:textId="77777777" w:rsidR="00583040" w:rsidRPr="00A41FB0" w:rsidRDefault="00583040" w:rsidP="00583040">
      <w:pPr>
        <w:pStyle w:val="DehPressRelease"/>
        <w:jc w:val="both"/>
        <w:rPr>
          <w:szCs w:val="22"/>
        </w:rPr>
      </w:pPr>
    </w:p>
    <w:p w14:paraId="6A897E3C" w14:textId="77777777" w:rsidR="00583040" w:rsidRPr="00A41FB0" w:rsidRDefault="00583040" w:rsidP="00787E7C">
      <w:pPr>
        <w:pStyle w:val="DehPressRelease"/>
        <w:spacing w:line="240" w:lineRule="auto"/>
        <w:jc w:val="both"/>
        <w:rPr>
          <w:b/>
          <w:bCs/>
          <w:szCs w:val="22"/>
        </w:rPr>
      </w:pPr>
      <w:r w:rsidRPr="00A41FB0">
        <w:rPr>
          <w:b/>
          <w:bCs/>
          <w:szCs w:val="22"/>
        </w:rPr>
        <w:t xml:space="preserve">Τηλεπικοινωνίες </w:t>
      </w:r>
    </w:p>
    <w:p w14:paraId="5ED21004" w14:textId="7D3402A3" w:rsidR="00583040" w:rsidRPr="00A41FB0" w:rsidRDefault="00787E7C" w:rsidP="00787E7C">
      <w:pPr>
        <w:pStyle w:val="DehPressRelease"/>
        <w:spacing w:after="0"/>
        <w:jc w:val="both"/>
        <w:rPr>
          <w:szCs w:val="22"/>
        </w:rPr>
      </w:pPr>
      <w:r w:rsidRPr="00A41FB0">
        <w:rPr>
          <w:szCs w:val="22"/>
        </w:rPr>
        <w:t xml:space="preserve">Σημαντική πρόοδος στην υλοποίηση της ανάπτυξης του δικτύου </w:t>
      </w:r>
      <w:proofErr w:type="spellStart"/>
      <w:r w:rsidRPr="00A41FB0">
        <w:rPr>
          <w:szCs w:val="22"/>
        </w:rPr>
        <w:t>Fiber</w:t>
      </w:r>
      <w:proofErr w:type="spellEnd"/>
      <w:r w:rsidRPr="00A41FB0">
        <w:rPr>
          <w:szCs w:val="22"/>
        </w:rPr>
        <w:t>-</w:t>
      </w:r>
      <w:proofErr w:type="spellStart"/>
      <w:r w:rsidRPr="00A41FB0">
        <w:rPr>
          <w:szCs w:val="22"/>
        </w:rPr>
        <w:t>to</w:t>
      </w:r>
      <w:proofErr w:type="spellEnd"/>
      <w:r w:rsidRPr="00A41FB0">
        <w:rPr>
          <w:szCs w:val="22"/>
        </w:rPr>
        <w:t>-the-</w:t>
      </w:r>
      <w:proofErr w:type="spellStart"/>
      <w:r w:rsidRPr="00A41FB0">
        <w:rPr>
          <w:szCs w:val="22"/>
        </w:rPr>
        <w:t>home</w:t>
      </w:r>
      <w:proofErr w:type="spellEnd"/>
      <w:r w:rsidRPr="00A41FB0">
        <w:rPr>
          <w:szCs w:val="22"/>
        </w:rPr>
        <w:t xml:space="preserve">, έχοντας φτάσει ήδη σε </w:t>
      </w:r>
      <w:r w:rsidR="007839F1" w:rsidRPr="00A41FB0">
        <w:rPr>
          <w:szCs w:val="22"/>
        </w:rPr>
        <w:t>650</w:t>
      </w:r>
      <w:r w:rsidRPr="00A41FB0">
        <w:rPr>
          <w:szCs w:val="22"/>
        </w:rPr>
        <w:t xml:space="preserve">.000 σπίτια/επιχειρήσεις τον </w:t>
      </w:r>
      <w:r w:rsidR="007839F1" w:rsidRPr="00A41FB0">
        <w:rPr>
          <w:szCs w:val="22"/>
        </w:rPr>
        <w:t>Δεκέμβριο</w:t>
      </w:r>
      <w:r w:rsidRPr="00A41FB0">
        <w:rPr>
          <w:szCs w:val="22"/>
        </w:rPr>
        <w:t xml:space="preserve"> 2024, σημειώνοντας αύξηση της τάξης του </w:t>
      </w:r>
      <w:r w:rsidR="001B227E" w:rsidRPr="00A41FB0">
        <w:rPr>
          <w:szCs w:val="22"/>
        </w:rPr>
        <w:t>36</w:t>
      </w:r>
      <w:r w:rsidR="00EE503A">
        <w:rPr>
          <w:szCs w:val="22"/>
        </w:rPr>
        <w:t>0</w:t>
      </w:r>
      <w:r w:rsidRPr="00A41FB0">
        <w:rPr>
          <w:szCs w:val="22"/>
        </w:rPr>
        <w:t xml:space="preserve">% </w:t>
      </w:r>
      <w:r w:rsidR="00DE2062" w:rsidRPr="00A41FB0">
        <w:rPr>
          <w:szCs w:val="22"/>
        </w:rPr>
        <w:t>σ</w:t>
      </w:r>
      <w:r w:rsidR="00EE503A">
        <w:rPr>
          <w:szCs w:val="22"/>
        </w:rPr>
        <w:t>ε σχέση με το 2023</w:t>
      </w:r>
      <w:r w:rsidRPr="00A41FB0">
        <w:rPr>
          <w:szCs w:val="22"/>
        </w:rPr>
        <w:t xml:space="preserve">. Η επιτυχημένη πορεία υλοποίησης μέχρι σήμερα θέτει τις βάσεις για την επίτευξη του στόχου το δίκτυο FTTH να φτάσει σε </w:t>
      </w:r>
      <w:r w:rsidR="00F0792A" w:rsidRPr="00A41FB0">
        <w:rPr>
          <w:szCs w:val="22"/>
        </w:rPr>
        <w:t>3</w:t>
      </w:r>
      <w:r w:rsidRPr="00A41FB0">
        <w:rPr>
          <w:szCs w:val="22"/>
        </w:rPr>
        <w:t xml:space="preserve"> εκατ. νοικοκυριά και επιχειρήσεις μέχρι το τέλος του 20</w:t>
      </w:r>
      <w:r w:rsidR="00F0792A" w:rsidRPr="00A41FB0">
        <w:rPr>
          <w:szCs w:val="22"/>
        </w:rPr>
        <w:t>30</w:t>
      </w:r>
      <w:r w:rsidRPr="00A41FB0">
        <w:rPr>
          <w:szCs w:val="22"/>
        </w:rPr>
        <w:t>.</w:t>
      </w:r>
    </w:p>
    <w:p w14:paraId="3BBD599F" w14:textId="77777777" w:rsidR="00583040" w:rsidRPr="00EF27E4" w:rsidRDefault="00583040" w:rsidP="00787E7C">
      <w:pPr>
        <w:pStyle w:val="DehPressRelease"/>
        <w:spacing w:after="0"/>
        <w:jc w:val="both"/>
        <w:rPr>
          <w:szCs w:val="22"/>
          <w:highlight w:val="yellow"/>
        </w:rPr>
      </w:pPr>
    </w:p>
    <w:p w14:paraId="6A23FF60" w14:textId="77777777" w:rsidR="00583040" w:rsidRPr="00EF27E4" w:rsidRDefault="00583040" w:rsidP="00583040">
      <w:pPr>
        <w:pStyle w:val="DehPressRelease"/>
        <w:spacing w:line="240" w:lineRule="auto"/>
        <w:jc w:val="both"/>
        <w:rPr>
          <w:b/>
          <w:bCs/>
          <w:szCs w:val="22"/>
          <w:highlight w:val="yellow"/>
        </w:rPr>
      </w:pPr>
    </w:p>
    <w:p w14:paraId="0209052F" w14:textId="7A884A64" w:rsidR="00583040" w:rsidRPr="00DB42FB" w:rsidRDefault="00583040" w:rsidP="00787E7C">
      <w:pPr>
        <w:pStyle w:val="DehPressRelease"/>
        <w:spacing w:line="240" w:lineRule="auto"/>
        <w:jc w:val="both"/>
        <w:rPr>
          <w:b/>
          <w:szCs w:val="22"/>
        </w:rPr>
      </w:pPr>
      <w:r w:rsidRPr="00DB42FB">
        <w:rPr>
          <w:b/>
          <w:szCs w:val="22"/>
        </w:rPr>
        <w:t>Ηλεκτροκίνηση</w:t>
      </w:r>
    </w:p>
    <w:p w14:paraId="2F18807E" w14:textId="4F56350E" w:rsidR="00583040" w:rsidRPr="00DB42FB" w:rsidRDefault="00934B84" w:rsidP="00583040">
      <w:pPr>
        <w:pStyle w:val="DehPressRelease"/>
        <w:jc w:val="both"/>
        <w:rPr>
          <w:szCs w:val="22"/>
        </w:rPr>
      </w:pPr>
      <w:r w:rsidRPr="00DB42FB">
        <w:rPr>
          <w:szCs w:val="22"/>
        </w:rPr>
        <w:t xml:space="preserve">Στον τομέα της ηλεκτροκίνησης, η ΔΕΗ παραμένει ο ηγέτης στην Ελληνική αγορά με το μερίδιο της στα δημόσια σημεία φόρτισης να διαμορφώνεται </w:t>
      </w:r>
      <w:r w:rsidRPr="00B75ED4">
        <w:rPr>
          <w:szCs w:val="22"/>
        </w:rPr>
        <w:t>στο 3</w:t>
      </w:r>
      <w:r w:rsidR="00B75ED4" w:rsidRPr="00B75ED4">
        <w:rPr>
          <w:szCs w:val="22"/>
        </w:rPr>
        <w:t>7</w:t>
      </w:r>
      <w:r w:rsidRPr="00B75ED4">
        <w:rPr>
          <w:szCs w:val="22"/>
        </w:rPr>
        <w:t>% το</w:t>
      </w:r>
      <w:r w:rsidRPr="00DB42FB">
        <w:rPr>
          <w:szCs w:val="22"/>
        </w:rPr>
        <w:t xml:space="preserve"> 2024. Η ΔΕΗ είναι επίσης ενεργή στον τομέα της ηλεκτροκίνησης στη Ρουμανία, με τον συνολικό αριθμό σημείων φόρτισης και στις δύο χώρες να ανέρχεται σ</w:t>
      </w:r>
      <w:r w:rsidR="00FF6B06" w:rsidRPr="00DB42FB">
        <w:rPr>
          <w:szCs w:val="22"/>
        </w:rPr>
        <w:t xml:space="preserve">ε περίπου </w:t>
      </w:r>
      <w:r w:rsidR="00425C8E" w:rsidRPr="00DB42FB">
        <w:rPr>
          <w:szCs w:val="22"/>
        </w:rPr>
        <w:t>3</w:t>
      </w:r>
      <w:r w:rsidRPr="00DB42FB">
        <w:rPr>
          <w:szCs w:val="22"/>
        </w:rPr>
        <w:t>.</w:t>
      </w:r>
      <w:r w:rsidR="00040371" w:rsidRPr="00DB42FB">
        <w:rPr>
          <w:szCs w:val="22"/>
        </w:rPr>
        <w:t>100</w:t>
      </w:r>
      <w:r w:rsidRPr="00DB42FB">
        <w:rPr>
          <w:szCs w:val="22"/>
        </w:rPr>
        <w:t xml:space="preserve"> στο τέλος του 2024</w:t>
      </w:r>
      <w:r w:rsidR="008F72E6">
        <w:rPr>
          <w:szCs w:val="22"/>
        </w:rPr>
        <w:t xml:space="preserve">, αύξηση </w:t>
      </w:r>
      <w:r w:rsidR="008F72E6" w:rsidRPr="000639AB">
        <w:rPr>
          <w:szCs w:val="22"/>
        </w:rPr>
        <w:t xml:space="preserve">περίπου </w:t>
      </w:r>
      <w:r w:rsidR="00EC2900" w:rsidRPr="000639AB">
        <w:rPr>
          <w:szCs w:val="22"/>
        </w:rPr>
        <w:t>29</w:t>
      </w:r>
      <w:r w:rsidR="008F72E6" w:rsidRPr="000639AB">
        <w:rPr>
          <w:szCs w:val="22"/>
        </w:rPr>
        <w:t>% σε</w:t>
      </w:r>
      <w:r w:rsidR="008F72E6">
        <w:rPr>
          <w:szCs w:val="22"/>
        </w:rPr>
        <w:t xml:space="preserve"> σχέση με το 2023</w:t>
      </w:r>
      <w:r w:rsidRPr="00DB42FB">
        <w:rPr>
          <w:szCs w:val="22"/>
        </w:rPr>
        <w:t>.</w:t>
      </w:r>
    </w:p>
    <w:p w14:paraId="79B4043F" w14:textId="77777777" w:rsidR="00583040" w:rsidRPr="00EF27E4" w:rsidRDefault="00583040" w:rsidP="00583040">
      <w:pPr>
        <w:rPr>
          <w:rFonts w:ascii="Ping LCG Regular" w:hAnsi="Ping LCG Regular"/>
          <w:b/>
          <w:bCs/>
          <w:sz w:val="20"/>
          <w:szCs w:val="20"/>
          <w:highlight w:val="yellow"/>
          <w:u w:val="single"/>
          <w:lang w:val="el-GR"/>
        </w:rPr>
      </w:pPr>
    </w:p>
    <w:p w14:paraId="3EB14DE2" w14:textId="77777777" w:rsidR="00A06AFB" w:rsidRDefault="00A06AFB" w:rsidP="00A06AFB">
      <w:pPr>
        <w:pStyle w:val="DehPressRelease"/>
        <w:spacing w:line="240" w:lineRule="auto"/>
        <w:jc w:val="both"/>
        <w:rPr>
          <w:b/>
          <w:szCs w:val="22"/>
        </w:rPr>
      </w:pPr>
    </w:p>
    <w:p w14:paraId="0A0D65DB" w14:textId="77777777" w:rsidR="00583040" w:rsidRPr="00ED454B" w:rsidRDefault="00583040" w:rsidP="00583040">
      <w:pPr>
        <w:rPr>
          <w:rFonts w:ascii="Ping LCG Regular" w:hAnsi="Ping LCG Regular"/>
          <w:b/>
          <w:bCs/>
          <w:sz w:val="20"/>
          <w:szCs w:val="20"/>
          <w:u w:val="single"/>
          <w:lang w:val="el-GR"/>
        </w:rPr>
      </w:pPr>
      <w:r w:rsidRPr="00ED454B">
        <w:rPr>
          <w:rFonts w:ascii="Ping LCG Regular" w:hAnsi="Ping LCG Regular"/>
          <w:b/>
          <w:bCs/>
          <w:sz w:val="20"/>
          <w:szCs w:val="20"/>
          <w:u w:val="single"/>
          <w:lang w:val="el-GR"/>
        </w:rPr>
        <w:t>Πληροφορίες: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583040" w:rsidRPr="00ED454B" w14:paraId="036F7E31" w14:textId="77777777" w:rsidTr="00125527">
        <w:tc>
          <w:tcPr>
            <w:tcW w:w="4318" w:type="dxa"/>
          </w:tcPr>
          <w:p w14:paraId="3F093775" w14:textId="77777777" w:rsidR="00583040" w:rsidRPr="00ED454B" w:rsidRDefault="00583040" w:rsidP="00125527">
            <w:pPr>
              <w:pStyle w:val="DehPressRelease"/>
              <w:spacing w:after="0" w:line="240" w:lineRule="auto"/>
              <w:rPr>
                <w:sz w:val="20"/>
                <w:szCs w:val="20"/>
              </w:rPr>
            </w:pPr>
            <w:r w:rsidRPr="00ED454B">
              <w:rPr>
                <w:sz w:val="20"/>
                <w:szCs w:val="20"/>
              </w:rPr>
              <w:t>Διεύθυνση Επενδυτικών Σχέσεων</w:t>
            </w:r>
          </w:p>
          <w:p w14:paraId="5FA1667C" w14:textId="77777777" w:rsidR="00583040" w:rsidRPr="00ED454B" w:rsidRDefault="00583040" w:rsidP="00125527">
            <w:pPr>
              <w:tabs>
                <w:tab w:val="left" w:pos="284"/>
              </w:tabs>
              <w:rPr>
                <w:rFonts w:ascii="Ping LCG Regular" w:hAnsi="Ping LCG Regular"/>
                <w:sz w:val="20"/>
                <w:szCs w:val="20"/>
                <w:lang w:val="el-GR"/>
              </w:rPr>
            </w:pPr>
            <w:r w:rsidRPr="00ED454B">
              <w:rPr>
                <w:rFonts w:ascii="Ping LCG Regular" w:hAnsi="Ping LCG Regular"/>
                <w:sz w:val="20"/>
                <w:szCs w:val="20"/>
                <w:lang w:val="el-GR"/>
              </w:rPr>
              <w:t>Χαλκοκονδύλη 30, 104 32 Αθήνα</w:t>
            </w:r>
          </w:p>
          <w:p w14:paraId="4DE57ADD" w14:textId="77777777" w:rsidR="00583040" w:rsidRPr="00ED454B" w:rsidRDefault="00583040" w:rsidP="00125527">
            <w:pPr>
              <w:tabs>
                <w:tab w:val="left" w:pos="284"/>
              </w:tabs>
              <w:rPr>
                <w:rFonts w:ascii="Ping LCG Regular" w:hAnsi="Ping LCG Regular"/>
                <w:sz w:val="20"/>
                <w:szCs w:val="20"/>
                <w:lang w:val="el-GR"/>
              </w:rPr>
            </w:pPr>
            <w:r w:rsidRPr="00ED454B">
              <w:rPr>
                <w:rFonts w:ascii="Ping LCG Regular" w:hAnsi="Ping LCG Regular"/>
                <w:sz w:val="20"/>
                <w:szCs w:val="20"/>
                <w:lang w:val="el-GR"/>
              </w:rPr>
              <w:t xml:space="preserve">Τ: </w:t>
            </w:r>
            <w:r w:rsidRPr="00ED454B">
              <w:rPr>
                <w:rFonts w:ascii="Ping LCG Regular" w:hAnsi="Ping LCG Regular"/>
                <w:sz w:val="20"/>
                <w:szCs w:val="20"/>
                <w:lang w:val="el-GR"/>
              </w:rPr>
              <w:tab/>
              <w:t>+30 210 529 2153</w:t>
            </w:r>
          </w:p>
          <w:p w14:paraId="77A745A0"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lang w:val="el-GR"/>
              </w:rPr>
              <w:tab/>
            </w:r>
            <w:r w:rsidRPr="00ED454B">
              <w:rPr>
                <w:rFonts w:ascii="Ping LCG Regular" w:hAnsi="Ping LCG Regular"/>
                <w:sz w:val="20"/>
                <w:szCs w:val="20"/>
              </w:rPr>
              <w:t>+30 210 529 3665</w:t>
            </w:r>
          </w:p>
          <w:p w14:paraId="6727070E"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ab/>
              <w:t>+30 210 529 3207</w:t>
            </w:r>
          </w:p>
          <w:p w14:paraId="5F468EB5" w14:textId="77777777" w:rsidR="00583040" w:rsidRPr="00ED454B" w:rsidRDefault="00000000" w:rsidP="00125527">
            <w:pPr>
              <w:pStyle w:val="DehPressRelease"/>
              <w:spacing w:after="0" w:line="240" w:lineRule="auto"/>
              <w:rPr>
                <w:rStyle w:val="Hyperlink"/>
                <w:sz w:val="20"/>
                <w:szCs w:val="20"/>
              </w:rPr>
            </w:pPr>
            <w:hyperlink r:id="rId12" w:history="1">
              <w:r w:rsidR="00583040" w:rsidRPr="00ED454B">
                <w:rPr>
                  <w:rStyle w:val="Hyperlink"/>
                  <w:sz w:val="20"/>
                  <w:szCs w:val="20"/>
                </w:rPr>
                <w:t>ir@ppcgroup.com</w:t>
              </w:r>
            </w:hyperlink>
          </w:p>
          <w:p w14:paraId="30DDA1CD" w14:textId="77777777" w:rsidR="00583040" w:rsidRPr="00ED454B" w:rsidRDefault="00583040" w:rsidP="00125527">
            <w:pPr>
              <w:pStyle w:val="DehPressRelease"/>
              <w:spacing w:after="0" w:line="240" w:lineRule="auto"/>
              <w:rPr>
                <w:sz w:val="20"/>
                <w:szCs w:val="20"/>
                <w:lang w:val="en-US"/>
              </w:rPr>
            </w:pPr>
          </w:p>
        </w:tc>
        <w:tc>
          <w:tcPr>
            <w:tcW w:w="4318" w:type="dxa"/>
          </w:tcPr>
          <w:p w14:paraId="41950C77"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 xml:space="preserve">Media Relations </w:t>
            </w:r>
            <w:r w:rsidRPr="00ED454B">
              <w:rPr>
                <w:rFonts w:ascii="Ping LCG Regular" w:hAnsi="Ping LCG Regular"/>
                <w:sz w:val="20"/>
                <w:szCs w:val="20"/>
                <w:lang w:val="el-GR"/>
              </w:rPr>
              <w:t>Ομίλου</w:t>
            </w:r>
            <w:r w:rsidRPr="00ED454B">
              <w:rPr>
                <w:rFonts w:ascii="Ping LCG Regular" w:hAnsi="Ping LCG Regular"/>
                <w:sz w:val="20"/>
                <w:szCs w:val="20"/>
              </w:rPr>
              <w:t xml:space="preserve"> </w:t>
            </w:r>
            <w:r w:rsidRPr="00ED454B">
              <w:rPr>
                <w:rFonts w:ascii="Ping LCG Regular" w:hAnsi="Ping LCG Regular"/>
                <w:sz w:val="20"/>
                <w:szCs w:val="20"/>
                <w:lang w:val="el-GR"/>
              </w:rPr>
              <w:t>ΔΕΗ</w:t>
            </w:r>
          </w:p>
          <w:p w14:paraId="0E0C06A7"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Χα</w:t>
            </w:r>
            <w:proofErr w:type="spellStart"/>
            <w:r w:rsidRPr="00ED454B">
              <w:rPr>
                <w:rFonts w:ascii="Ping LCG Regular" w:hAnsi="Ping LCG Regular"/>
                <w:sz w:val="20"/>
                <w:szCs w:val="20"/>
              </w:rPr>
              <w:t>λκοκονδύλη</w:t>
            </w:r>
            <w:proofErr w:type="spellEnd"/>
            <w:r w:rsidRPr="00ED454B">
              <w:rPr>
                <w:rFonts w:ascii="Ping LCG Regular" w:hAnsi="Ping LCG Regular"/>
                <w:sz w:val="20"/>
                <w:szCs w:val="20"/>
              </w:rPr>
              <w:t xml:space="preserve"> 32, 104 32 </w:t>
            </w:r>
            <w:proofErr w:type="spellStart"/>
            <w:r w:rsidRPr="00ED454B">
              <w:rPr>
                <w:rFonts w:ascii="Ping LCG Regular" w:hAnsi="Ping LCG Regular"/>
                <w:sz w:val="20"/>
                <w:szCs w:val="20"/>
              </w:rPr>
              <w:t>Αθήν</w:t>
            </w:r>
            <w:proofErr w:type="spellEnd"/>
            <w:r w:rsidRPr="00ED454B">
              <w:rPr>
                <w:rFonts w:ascii="Ping LCG Regular" w:hAnsi="Ping LCG Regular"/>
                <w:sz w:val="20"/>
                <w:szCs w:val="20"/>
              </w:rPr>
              <w:t>α</w:t>
            </w:r>
          </w:p>
          <w:p w14:paraId="7E67EAD6"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Τ:</w:t>
            </w:r>
            <w:r w:rsidRPr="00ED454B">
              <w:rPr>
                <w:rFonts w:ascii="Ping LCG Regular" w:hAnsi="Ping LCG Regular"/>
                <w:sz w:val="20"/>
                <w:szCs w:val="20"/>
              </w:rPr>
              <w:tab/>
              <w:t xml:space="preserve">+30 210 523 1807, </w:t>
            </w:r>
          </w:p>
          <w:p w14:paraId="73A92074"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ab/>
              <w:t>+30 210 529 3404,</w:t>
            </w:r>
          </w:p>
          <w:p w14:paraId="3A4F0724"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 xml:space="preserve"> </w:t>
            </w:r>
            <w:r w:rsidRPr="00ED454B">
              <w:rPr>
                <w:rFonts w:ascii="Ping LCG Regular" w:hAnsi="Ping LCG Regular"/>
                <w:sz w:val="20"/>
                <w:szCs w:val="20"/>
              </w:rPr>
              <w:tab/>
              <w:t>+30 697 270 7713</w:t>
            </w:r>
          </w:p>
          <w:p w14:paraId="04D1B371" w14:textId="77777777" w:rsidR="00583040" w:rsidRPr="00ED454B" w:rsidRDefault="00000000" w:rsidP="00125527">
            <w:pPr>
              <w:tabs>
                <w:tab w:val="left" w:pos="284"/>
              </w:tabs>
              <w:rPr>
                <w:rFonts w:ascii="Ping LCG Regular" w:hAnsi="Ping LCG Regular"/>
                <w:sz w:val="20"/>
                <w:szCs w:val="20"/>
              </w:rPr>
            </w:pPr>
            <w:hyperlink r:id="rId13" w:history="1">
              <w:r w:rsidR="00583040" w:rsidRPr="00ED454B">
                <w:rPr>
                  <w:rStyle w:val="Hyperlink"/>
                  <w:rFonts w:ascii="Ping LCG Regular" w:hAnsi="Ping LCG Regular"/>
                  <w:sz w:val="20"/>
                  <w:szCs w:val="20"/>
                </w:rPr>
                <w:t>information@ppcgroup.com</w:t>
              </w:r>
            </w:hyperlink>
            <w:r w:rsidR="00583040" w:rsidRPr="00ED454B">
              <w:rPr>
                <w:rStyle w:val="Hyperlink"/>
                <w:rFonts w:ascii="Ping LCG Regular" w:hAnsi="Ping LCG Regular"/>
                <w:sz w:val="20"/>
                <w:szCs w:val="20"/>
              </w:rPr>
              <w:t xml:space="preserve"> </w:t>
            </w:r>
          </w:p>
          <w:p w14:paraId="7BDDB4D6" w14:textId="77777777" w:rsidR="00583040" w:rsidRPr="00ED454B" w:rsidRDefault="00583040" w:rsidP="00125527">
            <w:pPr>
              <w:tabs>
                <w:tab w:val="left" w:pos="284"/>
              </w:tabs>
              <w:rPr>
                <w:rFonts w:ascii="Ping LCG Regular" w:hAnsi="Ping LCG Regular"/>
                <w:sz w:val="20"/>
                <w:szCs w:val="20"/>
              </w:rPr>
            </w:pPr>
            <w:r w:rsidRPr="00ED454B">
              <w:rPr>
                <w:rFonts w:ascii="Ping LCG Regular" w:hAnsi="Ping LCG Regular"/>
                <w:sz w:val="20"/>
                <w:szCs w:val="20"/>
              </w:rPr>
              <w:t xml:space="preserve">     </w:t>
            </w:r>
          </w:p>
        </w:tc>
      </w:tr>
    </w:tbl>
    <w:p w14:paraId="6748C86F" w14:textId="77777777" w:rsidR="00583040" w:rsidRPr="00ED454B" w:rsidRDefault="00583040" w:rsidP="00583040">
      <w:pPr>
        <w:pStyle w:val="DehPressRelease"/>
        <w:spacing w:after="0" w:line="240" w:lineRule="auto"/>
        <w:jc w:val="both"/>
        <w:rPr>
          <w:b/>
          <w:bCs/>
          <w:sz w:val="20"/>
          <w:szCs w:val="20"/>
          <w:lang w:val="en-US"/>
        </w:rPr>
      </w:pPr>
    </w:p>
    <w:p w14:paraId="6E3E31B9" w14:textId="77777777" w:rsidR="00583040" w:rsidRPr="00ED454B" w:rsidRDefault="00583040" w:rsidP="00583040">
      <w:pPr>
        <w:jc w:val="both"/>
        <w:rPr>
          <w:rFonts w:ascii="Ping LCG Regular" w:hAnsi="Ping LCG Regular"/>
          <w:sz w:val="20"/>
          <w:szCs w:val="20"/>
          <w:lang w:val="el-GR"/>
        </w:rPr>
      </w:pPr>
      <w:r w:rsidRPr="00ED454B">
        <w:rPr>
          <w:rFonts w:ascii="Ping LCG Regular" w:hAnsi="Ping LCG Regular"/>
          <w:sz w:val="20"/>
          <w:szCs w:val="20"/>
          <w:lang w:val="el-GR"/>
        </w:rPr>
        <w:t>Το Δελτίο Τύπου είναι διαθέσιμο στον διαδικτυακό τόπο της ΔΕΗ Α.Ε (</w:t>
      </w:r>
      <w:proofErr w:type="spellStart"/>
      <w:r w:rsidRPr="00ED454B">
        <w:rPr>
          <w:rFonts w:ascii="Ping LCG Regular" w:hAnsi="Ping LCG Regular"/>
          <w:sz w:val="20"/>
          <w:szCs w:val="20"/>
        </w:rPr>
        <w:t>ppcgroup</w:t>
      </w:r>
      <w:proofErr w:type="spellEnd"/>
      <w:r w:rsidRPr="00ED454B">
        <w:rPr>
          <w:rFonts w:ascii="Ping LCG Regular" w:hAnsi="Ping LCG Regular"/>
          <w:sz w:val="20"/>
          <w:szCs w:val="20"/>
          <w:lang w:val="el-GR"/>
        </w:rPr>
        <w:t>.</w:t>
      </w:r>
      <w:r w:rsidRPr="00ED454B">
        <w:rPr>
          <w:rFonts w:ascii="Ping LCG Regular" w:hAnsi="Ping LCG Regular"/>
          <w:sz w:val="20"/>
          <w:szCs w:val="20"/>
        </w:rPr>
        <w:t>com</w:t>
      </w:r>
      <w:r w:rsidRPr="00ED454B">
        <w:rPr>
          <w:rFonts w:ascii="Ping LCG Regular" w:hAnsi="Ping LCG Regular"/>
          <w:sz w:val="20"/>
          <w:szCs w:val="20"/>
          <w:lang w:val="el-GR"/>
        </w:rPr>
        <w:t>) στην ενότητα “Επενδυτικές Σχέσεις”.</w:t>
      </w:r>
    </w:p>
    <w:p w14:paraId="63067985" w14:textId="77777777" w:rsidR="00583040" w:rsidRPr="00ED454B" w:rsidRDefault="00583040" w:rsidP="00583040">
      <w:pPr>
        <w:jc w:val="both"/>
        <w:rPr>
          <w:rFonts w:ascii="Ping LCG Regular" w:hAnsi="Ping LCG Regular"/>
          <w:sz w:val="20"/>
          <w:szCs w:val="20"/>
          <w:lang w:val="el-GR"/>
        </w:rPr>
      </w:pPr>
    </w:p>
    <w:p w14:paraId="0A70D224" w14:textId="77777777" w:rsidR="00583040" w:rsidRPr="00ED454B" w:rsidRDefault="00583040" w:rsidP="00583040">
      <w:pPr>
        <w:jc w:val="both"/>
        <w:rPr>
          <w:rFonts w:ascii="Ping LCG Regular" w:hAnsi="Ping LCG Regular"/>
          <w:sz w:val="22"/>
          <w:szCs w:val="22"/>
          <w:lang w:val="el-GR"/>
        </w:rPr>
      </w:pPr>
    </w:p>
    <w:p w14:paraId="253A54FE" w14:textId="77777777" w:rsidR="00583040" w:rsidRPr="00ED454B" w:rsidRDefault="00583040" w:rsidP="00583040">
      <w:pPr>
        <w:rPr>
          <w:rFonts w:ascii="Ping LCG Regular" w:hAnsi="Ping LCG Regular"/>
          <w:b/>
          <w:bCs/>
          <w:sz w:val="20"/>
          <w:szCs w:val="20"/>
          <w:lang w:val="el-GR"/>
        </w:rPr>
      </w:pPr>
    </w:p>
    <w:p w14:paraId="22D67B08" w14:textId="77777777" w:rsidR="00FD78BF" w:rsidRDefault="00FD78BF">
      <w:pPr>
        <w:rPr>
          <w:rFonts w:ascii="Ping LCG Regular" w:hAnsi="Ping LCG Regular"/>
          <w:b/>
          <w:bCs/>
          <w:sz w:val="20"/>
          <w:szCs w:val="20"/>
          <w:lang w:val="el-GR"/>
        </w:rPr>
      </w:pPr>
      <w:r>
        <w:rPr>
          <w:rFonts w:ascii="Ping LCG Regular" w:hAnsi="Ping LCG Regular"/>
          <w:b/>
          <w:bCs/>
          <w:sz w:val="20"/>
          <w:szCs w:val="20"/>
          <w:lang w:val="el-GR"/>
        </w:rPr>
        <w:br w:type="page"/>
      </w:r>
    </w:p>
    <w:p w14:paraId="49DB6AAA" w14:textId="08579407" w:rsidR="00583040" w:rsidRPr="00ED454B" w:rsidRDefault="00583040" w:rsidP="00583040">
      <w:pPr>
        <w:spacing w:after="200" w:line="276" w:lineRule="auto"/>
        <w:jc w:val="both"/>
        <w:rPr>
          <w:rFonts w:ascii="Ping LCG Regular" w:hAnsi="Ping LCG Regular"/>
          <w:b/>
          <w:bCs/>
          <w:sz w:val="20"/>
          <w:szCs w:val="20"/>
          <w:lang w:val="el-GR"/>
        </w:rPr>
      </w:pPr>
      <w:r w:rsidRPr="00ED454B">
        <w:rPr>
          <w:rFonts w:ascii="Ping LCG Regular" w:hAnsi="Ping LCG Regular"/>
          <w:b/>
          <w:bCs/>
          <w:sz w:val="20"/>
          <w:szCs w:val="20"/>
          <w:lang w:val="el-GR"/>
        </w:rPr>
        <w:lastRenderedPageBreak/>
        <w:t>Σχετικά με τη Δημόσια Επιχείρηση Ηλεκτρισμού Α.Ε.</w:t>
      </w:r>
    </w:p>
    <w:p w14:paraId="0197E629" w14:textId="53CDB2E1" w:rsidR="00583040" w:rsidRPr="00E4172F" w:rsidRDefault="00583040" w:rsidP="00583040">
      <w:pPr>
        <w:spacing w:after="120"/>
        <w:jc w:val="both"/>
        <w:rPr>
          <w:rFonts w:ascii="Ping LCG Regular" w:hAnsi="Ping LCG Regular"/>
          <w:sz w:val="20"/>
          <w:szCs w:val="20"/>
          <w:lang w:val="el-GR"/>
        </w:rPr>
      </w:pPr>
      <w:r w:rsidRPr="00ED454B">
        <w:rPr>
          <w:rFonts w:ascii="Ping LCG Regular" w:hAnsi="Ping LCG Regular"/>
          <w:sz w:val="20"/>
          <w:szCs w:val="20"/>
          <w:lang w:val="el-GR"/>
        </w:rPr>
        <w:t xml:space="preserve">Η ΔΕΗ είναι η κορυφαία εταιρεία ενέργειας στην Νοτιοανατολική Ευρώπη, με δραστηριότητες στην παραγωγή, διανομή και πώληση προηγμένων προϊόντων και υπηρεσιών ενέργειας στην Ελλάδα, την </w:t>
      </w:r>
      <w:r w:rsidRPr="00E4172F">
        <w:rPr>
          <w:rFonts w:ascii="Ping LCG Regular" w:hAnsi="Ping LCG Regular"/>
          <w:sz w:val="20"/>
          <w:szCs w:val="20"/>
          <w:lang w:val="el-GR"/>
        </w:rPr>
        <w:t xml:space="preserve">Ρουμανία και την Βόρεια Μακεδονία. </w:t>
      </w:r>
    </w:p>
    <w:p w14:paraId="3B6563AC" w14:textId="1554318A" w:rsidR="00583040" w:rsidRPr="00E4172F" w:rsidRDefault="00583040" w:rsidP="00583040">
      <w:pPr>
        <w:spacing w:after="120"/>
        <w:jc w:val="both"/>
        <w:rPr>
          <w:rFonts w:ascii="Ping LCG Regular" w:hAnsi="Ping LCG Regular"/>
          <w:sz w:val="20"/>
          <w:szCs w:val="20"/>
          <w:lang w:val="el-GR"/>
        </w:rPr>
      </w:pPr>
      <w:r w:rsidRPr="00E4172F">
        <w:rPr>
          <w:rFonts w:ascii="Ping LCG Regular" w:hAnsi="Ping LCG Regular"/>
          <w:sz w:val="20"/>
          <w:szCs w:val="20"/>
          <w:lang w:val="el-GR"/>
        </w:rPr>
        <w:t xml:space="preserve">Το παραγωγικό δυναμικό της ΔΕΗ ανέρχεται </w:t>
      </w:r>
      <w:r w:rsidRPr="00BD1E70">
        <w:rPr>
          <w:rFonts w:ascii="Ping LCG Regular" w:hAnsi="Ping LCG Regular"/>
          <w:sz w:val="20"/>
          <w:szCs w:val="20"/>
          <w:lang w:val="el-GR"/>
        </w:rPr>
        <w:t xml:space="preserve">σε </w:t>
      </w:r>
      <w:r w:rsidR="00375545" w:rsidRPr="00AF1D44">
        <w:rPr>
          <w:rFonts w:ascii="Ping LCG Regular" w:hAnsi="Ping LCG Regular"/>
          <w:sz w:val="20"/>
          <w:szCs w:val="20"/>
          <w:lang w:val="el-GR"/>
        </w:rPr>
        <w:t>1</w:t>
      </w:r>
      <w:r w:rsidR="00B25009" w:rsidRPr="00AF1D44">
        <w:rPr>
          <w:rFonts w:ascii="Ping LCG Regular" w:hAnsi="Ping LCG Regular"/>
          <w:sz w:val="20"/>
          <w:szCs w:val="20"/>
          <w:lang w:val="el-GR"/>
        </w:rPr>
        <w:t>2</w:t>
      </w:r>
      <w:r w:rsidRPr="00AF1D44">
        <w:rPr>
          <w:rFonts w:ascii="Ping LCG Regular" w:hAnsi="Ping LCG Regular"/>
          <w:sz w:val="20"/>
          <w:szCs w:val="20"/>
          <w:lang w:val="el-GR"/>
        </w:rPr>
        <w:t>,</w:t>
      </w:r>
      <w:r w:rsidR="00B25009" w:rsidRPr="00AF1D44">
        <w:rPr>
          <w:rFonts w:ascii="Ping LCG Regular" w:hAnsi="Ping LCG Regular"/>
          <w:sz w:val="20"/>
          <w:szCs w:val="20"/>
          <w:lang w:val="el-GR"/>
        </w:rPr>
        <w:t>3</w:t>
      </w:r>
      <w:r w:rsidRPr="00AF1D44">
        <w:rPr>
          <w:rFonts w:ascii="Ping LCG Regular" w:hAnsi="Ping LCG Regular"/>
          <w:sz w:val="20"/>
          <w:szCs w:val="20"/>
          <w:lang w:val="el-GR"/>
        </w:rPr>
        <w:t>GW</w:t>
      </w:r>
      <w:r w:rsidRPr="00BD1E70">
        <w:rPr>
          <w:rFonts w:ascii="Ping LCG Regular" w:hAnsi="Ping LCG Regular"/>
          <w:sz w:val="20"/>
          <w:szCs w:val="20"/>
          <w:lang w:val="el-GR"/>
        </w:rPr>
        <w:t>,</w:t>
      </w:r>
      <w:r w:rsidRPr="00E4172F">
        <w:rPr>
          <w:rFonts w:ascii="Ping LCG Regular" w:hAnsi="Ping LCG Regular"/>
          <w:sz w:val="20"/>
          <w:szCs w:val="20"/>
          <w:lang w:val="el-GR"/>
        </w:rPr>
        <w:t xml:space="preserve"> με θερμικούς, υδροηλεκτρικούς σταθμούς και εγκαταστάσεις Ανανεώσιμων Πηγών Ενέργειας με συνολική ετήσια παραγωγή ενέργειας περίπου 21TWh, ενώ η συνολική Ρυθμιζόμενη Περιουσιακή Βάση στα δίκτυα διανομής, ανέρχεται σε περίπου </w:t>
      </w:r>
      <w:r w:rsidRPr="00B310D4">
        <w:rPr>
          <w:rFonts w:ascii="Ping LCG Regular" w:hAnsi="Ping LCG Regular"/>
          <w:sz w:val="20"/>
          <w:szCs w:val="20"/>
          <w:lang w:val="el-GR"/>
        </w:rPr>
        <w:t>€4,</w:t>
      </w:r>
      <w:r w:rsidR="00B310D4" w:rsidRPr="00B310D4">
        <w:rPr>
          <w:rFonts w:ascii="Ping LCG Regular" w:hAnsi="Ping LCG Regular"/>
          <w:sz w:val="20"/>
          <w:szCs w:val="20"/>
          <w:lang w:val="el-GR"/>
        </w:rPr>
        <w:t>9</w:t>
      </w:r>
      <w:r w:rsidRPr="00E4172F">
        <w:rPr>
          <w:rFonts w:ascii="Ping LCG Regular" w:hAnsi="Ping LCG Regular"/>
          <w:sz w:val="20"/>
          <w:szCs w:val="20"/>
          <w:lang w:val="el-GR"/>
        </w:rPr>
        <w:t xml:space="preserve"> δισ. </w:t>
      </w:r>
    </w:p>
    <w:p w14:paraId="3BADA0D7" w14:textId="25CCDC5F" w:rsidR="00583040" w:rsidRPr="00E4172F" w:rsidRDefault="00583040" w:rsidP="00583040">
      <w:pPr>
        <w:spacing w:after="120"/>
        <w:jc w:val="both"/>
        <w:rPr>
          <w:rFonts w:ascii="Ping LCG Regular" w:hAnsi="Ping LCG Regular"/>
          <w:sz w:val="20"/>
          <w:szCs w:val="20"/>
          <w:lang w:val="el-GR"/>
        </w:rPr>
      </w:pPr>
      <w:r w:rsidRPr="00E4172F">
        <w:rPr>
          <w:rFonts w:ascii="Ping LCG Regular" w:hAnsi="Ping LCG Regular"/>
          <w:sz w:val="20"/>
          <w:szCs w:val="20"/>
          <w:lang w:val="el-GR"/>
        </w:rPr>
        <w:t xml:space="preserve">Ο Όμιλος ΔΕΗ αποτελεί τον μεγαλύτερο προμηθευτή ενέργειας στην Ελλάδα και τη Ρουμανία, εξυπηρετώντας 8,8 εκατ. πελάτες στους οποίους παρέχει περίπου </w:t>
      </w:r>
      <w:r w:rsidRPr="00A41FB0">
        <w:rPr>
          <w:rFonts w:ascii="Ping LCG Regular" w:hAnsi="Ping LCG Regular"/>
          <w:sz w:val="20"/>
          <w:szCs w:val="20"/>
          <w:lang w:val="el-GR"/>
        </w:rPr>
        <w:t>3</w:t>
      </w:r>
      <w:r w:rsidR="00E4172F">
        <w:rPr>
          <w:rFonts w:ascii="Ping LCG Regular" w:hAnsi="Ping LCG Regular"/>
          <w:sz w:val="20"/>
          <w:szCs w:val="20"/>
          <w:lang w:val="el-GR"/>
        </w:rPr>
        <w:t>2</w:t>
      </w:r>
      <w:r w:rsidRPr="00A41FB0">
        <w:rPr>
          <w:rFonts w:ascii="Ping LCG Regular" w:hAnsi="Ping LCG Regular"/>
          <w:sz w:val="20"/>
          <w:szCs w:val="20"/>
          <w:lang w:val="el-GR"/>
        </w:rPr>
        <w:t>TWh</w:t>
      </w:r>
      <w:r w:rsidR="00E41BB8" w:rsidRPr="00E4172F">
        <w:rPr>
          <w:rFonts w:ascii="Ping LCG Regular" w:hAnsi="Ping LCG Regular"/>
          <w:sz w:val="20"/>
          <w:szCs w:val="20"/>
          <w:lang w:val="el-GR"/>
        </w:rPr>
        <w:t xml:space="preserve"> </w:t>
      </w:r>
      <w:r w:rsidR="000A4536" w:rsidRPr="00E4172F">
        <w:rPr>
          <w:rFonts w:ascii="Ping LCG Regular" w:hAnsi="Ping LCG Regular"/>
          <w:sz w:val="20"/>
          <w:szCs w:val="20"/>
          <w:lang w:val="el-GR"/>
        </w:rPr>
        <w:t xml:space="preserve">ηλεκτρικής </w:t>
      </w:r>
      <w:r w:rsidRPr="00E4172F">
        <w:rPr>
          <w:rFonts w:ascii="Ping LCG Regular" w:hAnsi="Ping LCG Regular"/>
          <w:sz w:val="20"/>
          <w:szCs w:val="20"/>
          <w:lang w:val="el-GR"/>
        </w:rPr>
        <w:t xml:space="preserve">ενέργειας και μία ευρεία σειρά ενεργειακών προϊόντων και υπηρεσιών. </w:t>
      </w:r>
    </w:p>
    <w:p w14:paraId="0F0037DE" w14:textId="77777777" w:rsidR="00583040" w:rsidRPr="00ED454B" w:rsidRDefault="00583040" w:rsidP="00583040">
      <w:pPr>
        <w:spacing w:after="120"/>
        <w:jc w:val="both"/>
        <w:rPr>
          <w:rFonts w:ascii="Ping LCG Regular" w:hAnsi="Ping LCG Regular"/>
          <w:sz w:val="20"/>
          <w:szCs w:val="20"/>
          <w:lang w:val="el-GR"/>
        </w:rPr>
      </w:pPr>
      <w:r w:rsidRPr="00E4172F">
        <w:rPr>
          <w:rFonts w:ascii="Ping LCG Regular" w:hAnsi="Ping LCG Regular"/>
          <w:sz w:val="20"/>
          <w:szCs w:val="20"/>
          <w:lang w:val="el-GR"/>
        </w:rPr>
        <w:t>Η ΔΕΗ ιδρύθηκε το 1950 και είναι εισηγμένη στο Χρηματιστήριο Αθηνών από το 2001</w:t>
      </w:r>
      <w:r w:rsidRPr="00ED454B">
        <w:rPr>
          <w:rFonts w:ascii="Ping LCG Regular" w:hAnsi="Ping LCG Regular"/>
          <w:sz w:val="20"/>
          <w:szCs w:val="20"/>
          <w:lang w:val="el-GR"/>
        </w:rPr>
        <w:t>.</w:t>
      </w:r>
    </w:p>
    <w:p w14:paraId="166BF85F" w14:textId="77777777" w:rsidR="00583040" w:rsidRPr="00ED454B" w:rsidRDefault="00583040" w:rsidP="00583040">
      <w:pPr>
        <w:jc w:val="both"/>
        <w:rPr>
          <w:rFonts w:ascii="Ping LCG Regular" w:hAnsi="Ping LCG Regular"/>
          <w:sz w:val="22"/>
          <w:szCs w:val="22"/>
          <w:lang w:val="el-GR"/>
        </w:rPr>
      </w:pPr>
    </w:p>
    <w:p w14:paraId="47241B3E" w14:textId="77777777" w:rsidR="00583040" w:rsidRPr="00ED454B" w:rsidRDefault="00583040" w:rsidP="00583040">
      <w:pPr>
        <w:jc w:val="both"/>
        <w:rPr>
          <w:rFonts w:ascii="Ping LCG Regular" w:hAnsi="Ping LCG Regular"/>
          <w:sz w:val="22"/>
          <w:szCs w:val="22"/>
          <w:lang w:val="el-GR"/>
        </w:rPr>
      </w:pPr>
    </w:p>
    <w:p w14:paraId="4F360558" w14:textId="77777777" w:rsidR="00583040" w:rsidRPr="00EF27E4" w:rsidRDefault="00583040" w:rsidP="00583040">
      <w:pPr>
        <w:rPr>
          <w:rFonts w:ascii="Ping LCG Regular" w:hAnsi="Ping LCG Regular"/>
          <w:b/>
          <w:bCs/>
          <w:sz w:val="18"/>
          <w:szCs w:val="18"/>
          <w:highlight w:val="yellow"/>
          <w:lang w:val="el-GR"/>
        </w:rPr>
      </w:pPr>
    </w:p>
    <w:p w14:paraId="6677E96B" w14:textId="77777777" w:rsidR="00583040" w:rsidRPr="00ED454B" w:rsidRDefault="00583040" w:rsidP="00583040">
      <w:pPr>
        <w:jc w:val="both"/>
        <w:rPr>
          <w:rFonts w:ascii="Ping LCG Regular" w:hAnsi="Ping LCG Regular"/>
          <w:b/>
          <w:bCs/>
          <w:sz w:val="18"/>
          <w:szCs w:val="18"/>
          <w:lang w:val="el-GR"/>
        </w:rPr>
      </w:pPr>
      <w:r w:rsidRPr="00ED454B">
        <w:rPr>
          <w:rFonts w:ascii="Ping LCG Regular" w:hAnsi="Ping LCG Regular"/>
          <w:b/>
          <w:bCs/>
          <w:sz w:val="18"/>
          <w:szCs w:val="18"/>
          <w:lang w:val="el-GR"/>
        </w:rPr>
        <w:t>Δήλωση αποποίησης ευθύνης</w:t>
      </w:r>
    </w:p>
    <w:p w14:paraId="21428FA8" w14:textId="77777777" w:rsidR="00583040" w:rsidRPr="00ED454B" w:rsidRDefault="00583040" w:rsidP="00583040">
      <w:pPr>
        <w:jc w:val="both"/>
        <w:rPr>
          <w:rFonts w:ascii="Ping LCG Regular" w:hAnsi="Ping LCG Regular"/>
          <w:sz w:val="18"/>
          <w:szCs w:val="18"/>
          <w:lang w:val="el-GR"/>
        </w:rPr>
      </w:pPr>
      <w:r w:rsidRPr="00ED454B">
        <w:rPr>
          <w:rFonts w:ascii="Ping LCG Regular" w:hAnsi="Ping LCG Regular"/>
          <w:sz w:val="18"/>
          <w:szCs w:val="18"/>
          <w:lang w:val="el-GR"/>
        </w:rPr>
        <w:t>Ορισμένες πληροφορίες που περιέχονται στην παρούσα ανακοίνωση, συμπεριλαμβανομένων των μελλοντικών EBITDA, των κερδών, των δαπανών και άλλων οικονομικών μέτρων που αφορούν σε μελλοντικές περιόδους, βασίζονται σε τρέχουσες προσδοκίες και παραδοχές σχετικά με μελλοντικά γεγονότα. Οι χρηματοοικονομικοί δείκτες που αναφέρονται σε μελλοντικές περιόδους βασίζονται σε τρέχουσες εύλογες και καλόπιστες παραδοχές. Δεν παρέχουμε καμία διαβεβαίωση ότι οι εν λόγω χρηματοοικονομικοί δείκτες θα επιτευχθούν.</w:t>
      </w:r>
    </w:p>
    <w:p w14:paraId="118DD515" w14:textId="77777777" w:rsidR="00583040" w:rsidRPr="00ED454B" w:rsidRDefault="00583040" w:rsidP="00583040">
      <w:pPr>
        <w:jc w:val="both"/>
        <w:rPr>
          <w:rFonts w:ascii="Ping LCG Regular" w:hAnsi="Ping LCG Regular"/>
          <w:sz w:val="18"/>
          <w:szCs w:val="18"/>
          <w:lang w:val="el-GR"/>
        </w:rPr>
      </w:pPr>
    </w:p>
    <w:p w14:paraId="09345130" w14:textId="77777777" w:rsidR="00583040" w:rsidRPr="00ED454B" w:rsidRDefault="00583040" w:rsidP="00583040">
      <w:pPr>
        <w:jc w:val="both"/>
        <w:rPr>
          <w:rFonts w:ascii="Ping LCG Regular" w:hAnsi="Ping LCG Regular"/>
          <w:sz w:val="18"/>
          <w:szCs w:val="18"/>
          <w:lang w:val="el-GR"/>
        </w:rPr>
      </w:pPr>
      <w:r w:rsidRPr="00ED454B">
        <w:rPr>
          <w:rFonts w:ascii="Ping LCG Regular" w:hAnsi="Ping LCG Regular"/>
          <w:sz w:val="18"/>
          <w:szCs w:val="18"/>
          <w:lang w:val="el-GR"/>
        </w:rPr>
        <w:t xml:space="preserve">Αυτές οι δηλώσεις που αφορούν μελλοντικά γεγονότα υπόκεινται, μεταξύ άλλων, i) στους επιχειρηματικούς, οικονομικούς και ανταγωνιστικούς κινδύνους, </w:t>
      </w:r>
      <w:proofErr w:type="spellStart"/>
      <w:r w:rsidRPr="00ED454B">
        <w:rPr>
          <w:rFonts w:ascii="Ping LCG Regular" w:hAnsi="Ping LCG Regular"/>
          <w:sz w:val="18"/>
          <w:szCs w:val="18"/>
          <w:lang w:val="el-GR"/>
        </w:rPr>
        <w:t>ii</w:t>
      </w:r>
      <w:proofErr w:type="spellEnd"/>
      <w:r w:rsidRPr="00ED454B">
        <w:rPr>
          <w:rFonts w:ascii="Ping LCG Regular" w:hAnsi="Ping LCG Regular"/>
          <w:sz w:val="18"/>
          <w:szCs w:val="18"/>
          <w:lang w:val="el-GR"/>
        </w:rPr>
        <w:t xml:space="preserve">) στις μακροοικονομικές συνθήκες, </w:t>
      </w:r>
      <w:proofErr w:type="spellStart"/>
      <w:r w:rsidRPr="00ED454B">
        <w:rPr>
          <w:rFonts w:ascii="Ping LCG Regular" w:hAnsi="Ping LCG Regular"/>
          <w:sz w:val="18"/>
          <w:szCs w:val="18"/>
          <w:lang w:val="el-GR"/>
        </w:rPr>
        <w:t>iii</w:t>
      </w:r>
      <w:proofErr w:type="spellEnd"/>
      <w:r w:rsidRPr="00ED454B">
        <w:rPr>
          <w:rFonts w:ascii="Ping LCG Regular" w:hAnsi="Ping LCG Regular"/>
          <w:sz w:val="18"/>
          <w:szCs w:val="18"/>
          <w:lang w:val="el-GR"/>
        </w:rPr>
        <w:t>) στη διακύμανση του ευρώ έναντι των συναλλαγματικών ισοτιμιών του δολαρίου ΗΠΑ και του LEU Ρουμανίας</w:t>
      </w:r>
      <w:r w:rsidRPr="00ED454B">
        <w:rPr>
          <w:rFonts w:ascii="Ping LCG Regular" w:hAnsi="Ping LCG Regular"/>
          <w:color w:val="000000" w:themeColor="text1"/>
          <w:sz w:val="18"/>
          <w:szCs w:val="18"/>
          <w:lang w:val="el-GR"/>
        </w:rPr>
        <w:t xml:space="preserve">, </w:t>
      </w:r>
      <w:proofErr w:type="spellStart"/>
      <w:r w:rsidRPr="00ED454B">
        <w:rPr>
          <w:rFonts w:ascii="Ping LCG Regular" w:hAnsi="Ping LCG Regular"/>
          <w:color w:val="000000" w:themeColor="text1"/>
          <w:sz w:val="18"/>
          <w:szCs w:val="18"/>
          <w:lang w:val="el-GR"/>
        </w:rPr>
        <w:t>iv</w:t>
      </w:r>
      <w:proofErr w:type="spellEnd"/>
      <w:r w:rsidRPr="00ED454B">
        <w:rPr>
          <w:rFonts w:ascii="Ping LCG Regular" w:hAnsi="Ping LCG Regular"/>
          <w:color w:val="000000" w:themeColor="text1"/>
          <w:sz w:val="18"/>
          <w:szCs w:val="18"/>
          <w:lang w:val="el-GR"/>
        </w:rPr>
        <w:t>) στις τιμές πετρελαίου</w:t>
      </w:r>
      <w:r w:rsidRPr="00ED454B">
        <w:rPr>
          <w:rFonts w:ascii="Ping LCG Regular" w:hAnsi="Ping LCG Regular"/>
          <w:sz w:val="18"/>
          <w:szCs w:val="18"/>
          <w:lang w:val="el-GR"/>
        </w:rPr>
        <w:t>, φυσικού αερίου και ηλεκτρικής ενέργειας και στην τιμή των δικαιωμάτων εκπομπών CO</w:t>
      </w:r>
      <w:r w:rsidRPr="00ED454B">
        <w:rPr>
          <w:rFonts w:ascii="Ping LCG Regular" w:hAnsi="Ping LCG Regular"/>
          <w:sz w:val="18"/>
          <w:szCs w:val="18"/>
          <w:vertAlign w:val="subscript"/>
          <w:lang w:val="el-GR"/>
        </w:rPr>
        <w:t>2</w:t>
      </w:r>
      <w:r w:rsidRPr="00ED454B">
        <w:rPr>
          <w:rFonts w:ascii="Ping LCG Regular" w:hAnsi="Ping LCG Regular"/>
          <w:sz w:val="18"/>
          <w:szCs w:val="18"/>
          <w:lang w:val="el-GR"/>
        </w:rPr>
        <w:t xml:space="preserve">, v) στις αλλαγές του τοπίου της αγοράς και του νομικού, κανονιστικού, φορολογικού και δημοσιονομικού τοπίου, </w:t>
      </w:r>
      <w:proofErr w:type="spellStart"/>
      <w:r w:rsidRPr="00ED454B">
        <w:rPr>
          <w:rFonts w:ascii="Ping LCG Regular" w:hAnsi="Ping LCG Regular"/>
          <w:sz w:val="18"/>
          <w:szCs w:val="18"/>
          <w:lang w:val="el-GR"/>
        </w:rPr>
        <w:t>vi</w:t>
      </w:r>
      <w:proofErr w:type="spellEnd"/>
      <w:r w:rsidRPr="00ED454B">
        <w:rPr>
          <w:rFonts w:ascii="Ping LCG Regular" w:hAnsi="Ping LCG Regular"/>
          <w:sz w:val="18"/>
          <w:szCs w:val="18"/>
          <w:lang w:val="el-GR"/>
        </w:rPr>
        <w:t xml:space="preserve">) στην εξέλιξη του επισφαλούς χρέους, και </w:t>
      </w:r>
      <w:proofErr w:type="spellStart"/>
      <w:r w:rsidRPr="00ED454B">
        <w:rPr>
          <w:rFonts w:ascii="Ping LCG Regular" w:hAnsi="Ping LCG Regular"/>
          <w:sz w:val="18"/>
          <w:szCs w:val="18"/>
          <w:lang w:val="el-GR"/>
        </w:rPr>
        <w:t>vii</w:t>
      </w:r>
      <w:proofErr w:type="spellEnd"/>
      <w:r w:rsidRPr="00ED454B">
        <w:rPr>
          <w:rFonts w:ascii="Ping LCG Regular" w:hAnsi="Ping LCG Regular"/>
          <w:sz w:val="18"/>
          <w:szCs w:val="18"/>
          <w:lang w:val="el-GR"/>
        </w:rPr>
        <w:t xml:space="preserve">) άλλες αβεβαιότητες και απρόβλεπτες καταστάσεις, οι οποίες σχετίζονται με παράγοντες που η ΔΕΗ δεν είναι σε θέση να ελέγξει ή να εκτιμήσει με ακρίβεια, και οι οποίοι θα μπορούσαν να έχουν ως αποτέλεσμα την ουσιαστική διαφοροποίηση των πραγματικών γεγονότων ή των αποτελεσμάτων από εκείνα που εκφράζονται στην ανακοίνωση. Ως εκ τούτου, δεν θα πρέπει να βασίζεστε υπέρ του δέοντος σε αυτές τις δηλώσεις που αφορούν μελλοντικά γεγονότα, οι οποίες αφορούν μόνον την ημερομηνία της παρούσας ανακοίνωσης. </w:t>
      </w:r>
    </w:p>
    <w:p w14:paraId="371B47A6" w14:textId="77777777" w:rsidR="00583040" w:rsidRPr="00ED454B" w:rsidRDefault="00583040" w:rsidP="00583040">
      <w:pPr>
        <w:jc w:val="both"/>
        <w:rPr>
          <w:rFonts w:ascii="Ping LCG Regular" w:hAnsi="Ping LCG Regular"/>
          <w:sz w:val="18"/>
          <w:szCs w:val="18"/>
          <w:lang w:val="el-GR"/>
        </w:rPr>
      </w:pPr>
    </w:p>
    <w:p w14:paraId="2C988166" w14:textId="77777777" w:rsidR="00583040" w:rsidRPr="00ED454B" w:rsidRDefault="00583040" w:rsidP="00583040">
      <w:pPr>
        <w:jc w:val="both"/>
        <w:rPr>
          <w:rFonts w:ascii="Ping LCG Regular" w:hAnsi="Ping LCG Regular"/>
          <w:sz w:val="18"/>
          <w:szCs w:val="18"/>
          <w:lang w:val="el-GR"/>
        </w:rPr>
      </w:pPr>
      <w:r w:rsidRPr="00ED454B">
        <w:rPr>
          <w:rFonts w:ascii="Ping LCG Regular" w:hAnsi="Ping LCG Regular"/>
          <w:sz w:val="18"/>
          <w:szCs w:val="18"/>
          <w:lang w:val="el-GR"/>
        </w:rPr>
        <w:t>Η ΔΕΗ δεν αναλαμβάνει καμία υποχρέωση να δημοσιοποιήσει τυχόν αναθεωρήσεις αυτών των δηλώσεων ώστε να αντικατοπτρίζουν γεγονότα ή περιστάσεις μετά την ημερομηνία της παρούσας ανακοίνωσης.</w:t>
      </w:r>
    </w:p>
    <w:p w14:paraId="71A8F494" w14:textId="77777777" w:rsidR="00583040" w:rsidRPr="00ED454B" w:rsidRDefault="00583040" w:rsidP="00583040">
      <w:pPr>
        <w:jc w:val="both"/>
        <w:rPr>
          <w:rFonts w:ascii="Ping LCG Regular" w:hAnsi="Ping LCG Regular"/>
          <w:color w:val="FF0000"/>
          <w:sz w:val="20"/>
          <w:szCs w:val="20"/>
          <w:lang w:val="el-GR"/>
        </w:rPr>
      </w:pPr>
    </w:p>
    <w:p w14:paraId="79BBB963" w14:textId="77777777" w:rsidR="00583040" w:rsidRPr="00EF27E4" w:rsidRDefault="00583040" w:rsidP="00583040">
      <w:pPr>
        <w:rPr>
          <w:rFonts w:ascii="Ping LCG Regular" w:hAnsi="Ping LCG Regular"/>
          <w:b/>
          <w:bCs/>
          <w:color w:val="FF0000"/>
          <w:sz w:val="20"/>
          <w:szCs w:val="20"/>
          <w:highlight w:val="yellow"/>
          <w:lang w:val="el-GR"/>
        </w:rPr>
      </w:pPr>
      <w:r w:rsidRPr="00EF27E4">
        <w:rPr>
          <w:rFonts w:ascii="Ping LCG Regular" w:hAnsi="Ping LCG Regular"/>
          <w:b/>
          <w:bCs/>
          <w:color w:val="FF0000"/>
          <w:sz w:val="20"/>
          <w:szCs w:val="20"/>
          <w:highlight w:val="yellow"/>
          <w:lang w:val="el-GR"/>
        </w:rPr>
        <w:br w:type="page"/>
      </w:r>
    </w:p>
    <w:p w14:paraId="31C41343" w14:textId="77777777" w:rsidR="00583040" w:rsidRPr="00ED454B" w:rsidRDefault="00583040" w:rsidP="00583040">
      <w:pPr>
        <w:jc w:val="both"/>
        <w:rPr>
          <w:rFonts w:ascii="Ping LCG Regular" w:hAnsi="Ping LCG Regular"/>
          <w:b/>
          <w:bCs/>
          <w:sz w:val="20"/>
          <w:szCs w:val="20"/>
          <w:lang w:val="el-GR"/>
        </w:rPr>
      </w:pPr>
      <w:r w:rsidRPr="00ED454B">
        <w:rPr>
          <w:rFonts w:ascii="Ping LCG Regular" w:hAnsi="Ping LCG Regular"/>
          <w:b/>
          <w:bCs/>
          <w:sz w:val="20"/>
          <w:szCs w:val="20"/>
          <w:lang w:val="el-GR"/>
        </w:rPr>
        <w:lastRenderedPageBreak/>
        <w:t xml:space="preserve">ΠΑΡΑΡΤΗΜΑ </w:t>
      </w:r>
      <w:r w:rsidRPr="00ED454B">
        <w:rPr>
          <w:rFonts w:ascii="Ping LCG Regular" w:hAnsi="Ping LCG Regular"/>
          <w:b/>
          <w:bCs/>
          <w:sz w:val="20"/>
          <w:szCs w:val="20"/>
        </w:rPr>
        <w:t>I</w:t>
      </w:r>
      <w:r w:rsidRPr="00ED454B">
        <w:rPr>
          <w:rFonts w:ascii="Ping LCG Regular" w:hAnsi="Ping LCG Regular"/>
          <w:b/>
          <w:bCs/>
          <w:sz w:val="20"/>
          <w:szCs w:val="20"/>
          <w:lang w:val="el-GR"/>
        </w:rPr>
        <w:t xml:space="preserve"> – ΣΥΝΟΠΤΙΚΕΣ ΕΝΟΠΟΙΗΜΕΝΕΣ ΟΙΚΟΝΟΜΙΚΕΣ ΚΑΤΑΣΤΑΣΕΙΣ</w:t>
      </w:r>
    </w:p>
    <w:p w14:paraId="4A23B466" w14:textId="77777777" w:rsidR="00583040" w:rsidRPr="00ED454B" w:rsidRDefault="00583040" w:rsidP="00583040">
      <w:pPr>
        <w:jc w:val="both"/>
        <w:rPr>
          <w:rFonts w:ascii="Ping LCG Regular" w:hAnsi="Ping LCG Regular"/>
          <w:b/>
          <w:bCs/>
          <w:sz w:val="20"/>
          <w:szCs w:val="20"/>
          <w:lang w:val="el-GR"/>
        </w:rPr>
      </w:pPr>
    </w:p>
    <w:p w14:paraId="56CC9CB2" w14:textId="59FD3FC4" w:rsidR="00583040" w:rsidRPr="00ED454B" w:rsidRDefault="00583040" w:rsidP="00583040">
      <w:pPr>
        <w:jc w:val="both"/>
        <w:rPr>
          <w:rFonts w:ascii="Ping LCG Regular" w:hAnsi="Ping LCG Regular"/>
          <w:b/>
          <w:sz w:val="20"/>
          <w:szCs w:val="20"/>
          <w:lang w:val="el-GR"/>
        </w:rPr>
      </w:pPr>
      <w:r w:rsidRPr="00ED454B">
        <w:rPr>
          <w:rFonts w:ascii="Ping LCG Regular" w:hAnsi="Ping LCG Regular"/>
          <w:b/>
          <w:sz w:val="20"/>
          <w:szCs w:val="20"/>
          <w:lang w:val="el-GR"/>
        </w:rPr>
        <w:t>Ενοποιημένη Κατάσταση Χρηματοοικονομικής Θέσης (Συνοπτική)</w:t>
      </w:r>
      <w:r w:rsidRPr="00ED454B">
        <w:rPr>
          <w:rStyle w:val="FootnoteReference"/>
          <w:rFonts w:ascii="Ping LCG Regular" w:hAnsi="Ping LCG Regular"/>
          <w:b/>
          <w:color w:val="FFFFFF" w:themeColor="background1"/>
          <w:sz w:val="20"/>
          <w:szCs w:val="20"/>
          <w:lang w:val="el-GR"/>
        </w:rPr>
        <w:footnoteReference w:id="8"/>
      </w:r>
      <w:r w:rsidRPr="00ED454B">
        <w:rPr>
          <w:rFonts w:ascii="Ping LCG Regular" w:hAnsi="Ping LCG Regular"/>
          <w:b/>
          <w:sz w:val="20"/>
          <w:szCs w:val="20"/>
          <w:lang w:val="el-GR"/>
        </w:rPr>
        <w:t xml:space="preserve"> </w:t>
      </w:r>
    </w:p>
    <w:p w14:paraId="02A44B3C" w14:textId="77777777" w:rsidR="00583040" w:rsidRPr="00ED454B" w:rsidRDefault="00583040" w:rsidP="00583040">
      <w:pPr>
        <w:jc w:val="both"/>
        <w:rPr>
          <w:rFonts w:ascii="Ping LCG Regular" w:hAnsi="Ping LCG Regular"/>
          <w:b/>
          <w:sz w:val="20"/>
          <w:szCs w:val="20"/>
          <w:lang w:val="el-GR"/>
        </w:rPr>
      </w:pPr>
    </w:p>
    <w:p w14:paraId="73E6E5DB" w14:textId="0AAAC472" w:rsidR="00583040" w:rsidRPr="00414703" w:rsidRDefault="00984D71" w:rsidP="005451A4">
      <w:pPr>
        <w:jc w:val="center"/>
        <w:rPr>
          <w:rFonts w:ascii="Ping LCG Regular" w:hAnsi="Ping LCG Regular"/>
          <w:b/>
          <w:sz w:val="20"/>
          <w:szCs w:val="20"/>
          <w:lang w:val="el-GR"/>
        </w:rPr>
      </w:pPr>
      <w:r w:rsidRPr="00984D71">
        <w:rPr>
          <w:noProof/>
        </w:rPr>
        <w:drawing>
          <wp:inline distT="0" distB="0" distL="0" distR="0" wp14:anchorId="52E338A5" wp14:editId="4C5CC171">
            <wp:extent cx="5490210" cy="6484620"/>
            <wp:effectExtent l="0" t="0" r="0" b="0"/>
            <wp:docPr id="1796526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0210" cy="6484620"/>
                    </a:xfrm>
                    <a:prstGeom prst="rect">
                      <a:avLst/>
                    </a:prstGeom>
                    <a:noFill/>
                    <a:ln>
                      <a:noFill/>
                    </a:ln>
                  </pic:spPr>
                </pic:pic>
              </a:graphicData>
            </a:graphic>
          </wp:inline>
        </w:drawing>
      </w:r>
    </w:p>
    <w:p w14:paraId="7C0CF114" w14:textId="7512F5EE" w:rsidR="00583040" w:rsidRPr="00DD3E0A" w:rsidRDefault="00583040" w:rsidP="00583040">
      <w:pPr>
        <w:jc w:val="both"/>
        <w:rPr>
          <w:rFonts w:ascii="Ping LCG Regular" w:hAnsi="Ping LCG Regular"/>
          <w:b/>
          <w:sz w:val="20"/>
          <w:szCs w:val="20"/>
          <w:lang w:val="el-GR"/>
        </w:rPr>
      </w:pPr>
    </w:p>
    <w:p w14:paraId="228E27A8" w14:textId="77777777" w:rsidR="00C00CF9" w:rsidRPr="00DD3E0A" w:rsidRDefault="00C00CF9" w:rsidP="00583040">
      <w:pPr>
        <w:jc w:val="both"/>
        <w:rPr>
          <w:rFonts w:ascii="Ping LCG Regular" w:hAnsi="Ping LCG Regular"/>
          <w:b/>
          <w:sz w:val="20"/>
          <w:szCs w:val="20"/>
          <w:lang w:val="el-GR"/>
        </w:rPr>
      </w:pPr>
    </w:p>
    <w:p w14:paraId="17897A0A" w14:textId="77777777" w:rsidR="00583040" w:rsidRPr="00EF27E4" w:rsidRDefault="00583040" w:rsidP="00583040">
      <w:pPr>
        <w:jc w:val="both"/>
        <w:rPr>
          <w:rFonts w:ascii="Ping LCG Regular" w:hAnsi="Ping LCG Regular"/>
          <w:b/>
          <w:sz w:val="20"/>
          <w:szCs w:val="20"/>
          <w:highlight w:val="yellow"/>
          <w:lang w:val="el-GR"/>
        </w:rPr>
      </w:pPr>
    </w:p>
    <w:p w14:paraId="41183EE4" w14:textId="77777777" w:rsidR="00A27A26" w:rsidRPr="00EF27E4" w:rsidRDefault="00A27A26">
      <w:pPr>
        <w:rPr>
          <w:rFonts w:ascii="Ping LCG Regular" w:hAnsi="Ping LCG Regular"/>
          <w:b/>
          <w:sz w:val="20"/>
          <w:szCs w:val="20"/>
          <w:highlight w:val="yellow"/>
          <w:lang w:val="el-GR"/>
        </w:rPr>
      </w:pPr>
      <w:r w:rsidRPr="00EF27E4">
        <w:rPr>
          <w:rFonts w:ascii="Ping LCG Regular" w:hAnsi="Ping LCG Regular"/>
          <w:b/>
          <w:sz w:val="20"/>
          <w:szCs w:val="20"/>
          <w:highlight w:val="yellow"/>
          <w:lang w:val="el-GR"/>
        </w:rPr>
        <w:br w:type="page"/>
      </w:r>
    </w:p>
    <w:p w14:paraId="5A69FA9D" w14:textId="25EE7DFA" w:rsidR="00583040" w:rsidRPr="00ED454B" w:rsidRDefault="00583040" w:rsidP="00583040">
      <w:pPr>
        <w:jc w:val="both"/>
        <w:rPr>
          <w:rFonts w:ascii="Ping LCG Regular" w:hAnsi="Ping LCG Regular"/>
          <w:b/>
          <w:sz w:val="20"/>
          <w:szCs w:val="20"/>
          <w:lang w:val="el-GR"/>
        </w:rPr>
      </w:pPr>
      <w:r w:rsidRPr="00ED454B">
        <w:rPr>
          <w:rFonts w:ascii="Ping LCG Regular" w:hAnsi="Ping LCG Regular"/>
          <w:b/>
          <w:sz w:val="20"/>
          <w:szCs w:val="20"/>
          <w:lang w:val="el-GR"/>
        </w:rPr>
        <w:lastRenderedPageBreak/>
        <w:t>Ενοποιημένη Κατάσταση Αποτελεσμάτων (Συνοπτική)</w:t>
      </w:r>
      <w:r w:rsidR="00AB6662" w:rsidRPr="00DD3E0A">
        <w:rPr>
          <w:rStyle w:val="FootnoteReference"/>
          <w:rFonts w:ascii="Ping LCG Regular" w:hAnsi="Ping LCG Regular"/>
          <w:b/>
          <w:color w:val="FFFFFF" w:themeColor="background1"/>
          <w:sz w:val="20"/>
          <w:szCs w:val="20"/>
          <w:lang w:val="el-GR"/>
        </w:rPr>
        <w:footnoteReference w:id="9"/>
      </w:r>
    </w:p>
    <w:p w14:paraId="03A485DB" w14:textId="65BA5B4F" w:rsidR="00B60232" w:rsidRPr="00E23209" w:rsidRDefault="00B60232" w:rsidP="00583040">
      <w:pPr>
        <w:rPr>
          <w:rFonts w:ascii="Ping LCG Regular" w:hAnsi="Ping LCG Regular"/>
          <w:b/>
          <w:sz w:val="20"/>
          <w:szCs w:val="20"/>
          <w:lang w:val="el-GR"/>
        </w:rPr>
      </w:pPr>
    </w:p>
    <w:p w14:paraId="2D42EDCF" w14:textId="25877FDE" w:rsidR="00583040" w:rsidRPr="00E23209" w:rsidRDefault="00583040" w:rsidP="00583040">
      <w:pPr>
        <w:rPr>
          <w:rFonts w:ascii="Ping LCG Regular" w:hAnsi="Ping LCG Regular"/>
          <w:b/>
          <w:color w:val="FFFFFF" w:themeColor="background1"/>
          <w:sz w:val="20"/>
          <w:szCs w:val="20"/>
          <w:lang w:val="el-GR"/>
        </w:rPr>
      </w:pPr>
      <w:r w:rsidRPr="000A26D2">
        <w:rPr>
          <w:lang w:val="el-GR"/>
        </w:rPr>
        <w:t xml:space="preserve"> </w:t>
      </w:r>
      <w:r w:rsidR="00F33AB9" w:rsidRPr="00F33AB9">
        <w:rPr>
          <w:lang w:val="el-GR"/>
        </w:rPr>
        <w:t xml:space="preserve"> </w:t>
      </w:r>
      <w:r w:rsidR="002512D7" w:rsidRPr="002512D7">
        <w:rPr>
          <w:noProof/>
        </w:rPr>
        <w:drawing>
          <wp:inline distT="0" distB="0" distL="0" distR="0" wp14:anchorId="560F3916" wp14:editId="46D02C1D">
            <wp:extent cx="5490210" cy="4569460"/>
            <wp:effectExtent l="0" t="0" r="0" b="2540"/>
            <wp:docPr id="1644195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0210" cy="4569460"/>
                    </a:xfrm>
                    <a:prstGeom prst="rect">
                      <a:avLst/>
                    </a:prstGeom>
                    <a:noFill/>
                    <a:ln>
                      <a:noFill/>
                    </a:ln>
                  </pic:spPr>
                </pic:pic>
              </a:graphicData>
            </a:graphic>
          </wp:inline>
        </w:drawing>
      </w:r>
    </w:p>
    <w:p w14:paraId="7BA9E35B" w14:textId="77777777" w:rsidR="00583040" w:rsidRPr="000A26D2" w:rsidRDefault="00583040" w:rsidP="00583040">
      <w:pPr>
        <w:jc w:val="both"/>
        <w:rPr>
          <w:rFonts w:ascii="Ping LCG Regular" w:hAnsi="Ping LCG Regular"/>
          <w:b/>
          <w:sz w:val="20"/>
          <w:szCs w:val="20"/>
          <w:lang w:val="el-GR"/>
        </w:rPr>
      </w:pPr>
    </w:p>
    <w:p w14:paraId="116F4998" w14:textId="77777777" w:rsidR="007C5CF7" w:rsidRDefault="007C5CF7">
      <w:pPr>
        <w:rPr>
          <w:rFonts w:ascii="Ping LCG Regular" w:hAnsi="Ping LCG Regular"/>
          <w:b/>
          <w:sz w:val="20"/>
          <w:szCs w:val="20"/>
          <w:lang w:val="el-GR"/>
        </w:rPr>
      </w:pPr>
      <w:r>
        <w:rPr>
          <w:rFonts w:ascii="Ping LCG Regular" w:hAnsi="Ping LCG Regular"/>
          <w:b/>
          <w:sz w:val="20"/>
          <w:szCs w:val="20"/>
          <w:lang w:val="el-GR"/>
        </w:rPr>
        <w:br w:type="page"/>
      </w:r>
    </w:p>
    <w:p w14:paraId="3F840D00" w14:textId="6A56B737" w:rsidR="00583040" w:rsidRPr="00DD3E0A" w:rsidRDefault="00583040" w:rsidP="00583040">
      <w:pPr>
        <w:jc w:val="both"/>
        <w:rPr>
          <w:rFonts w:ascii="Ping LCG Regular" w:hAnsi="Ping LCG Regular"/>
          <w:b/>
          <w:sz w:val="20"/>
          <w:szCs w:val="20"/>
          <w:lang w:val="el-GR"/>
        </w:rPr>
      </w:pPr>
      <w:r w:rsidRPr="00ED454B">
        <w:rPr>
          <w:rFonts w:ascii="Ping LCG Regular" w:hAnsi="Ping LCG Regular"/>
          <w:b/>
          <w:sz w:val="20"/>
          <w:szCs w:val="20"/>
          <w:lang w:val="el-GR"/>
        </w:rPr>
        <w:lastRenderedPageBreak/>
        <w:t>Ενοποιημένη κατάσταση ταμιακών ροών (Συνοπτική)</w:t>
      </w:r>
      <w:r w:rsidR="00A143F8" w:rsidRPr="00DD3E0A">
        <w:rPr>
          <w:rStyle w:val="FootnoteReference"/>
          <w:rFonts w:ascii="Ping LCG Regular" w:hAnsi="Ping LCG Regular"/>
          <w:b/>
          <w:color w:val="FFFFFF" w:themeColor="background1"/>
          <w:sz w:val="20"/>
          <w:szCs w:val="20"/>
          <w:lang w:val="el-GR"/>
        </w:rPr>
        <w:footnoteReference w:id="10"/>
      </w:r>
    </w:p>
    <w:p w14:paraId="09C0C5CD" w14:textId="77777777" w:rsidR="003025F0" w:rsidRPr="00DD3E0A" w:rsidRDefault="003025F0" w:rsidP="00583040">
      <w:pPr>
        <w:jc w:val="both"/>
        <w:rPr>
          <w:rFonts w:ascii="Ping LCG Regular" w:hAnsi="Ping LCG Regular"/>
          <w:b/>
          <w:sz w:val="20"/>
          <w:szCs w:val="20"/>
          <w:lang w:val="el-GR"/>
        </w:rPr>
      </w:pPr>
    </w:p>
    <w:p w14:paraId="636B93A3" w14:textId="77777777" w:rsidR="003025F0" w:rsidRPr="009E5B5B" w:rsidRDefault="003025F0" w:rsidP="00583040">
      <w:pPr>
        <w:jc w:val="both"/>
        <w:rPr>
          <w:rFonts w:ascii="Ping LCG Regular" w:hAnsi="Ping LCG Regular"/>
          <w:b/>
          <w:sz w:val="20"/>
          <w:szCs w:val="20"/>
          <w:lang w:val="el-GR"/>
        </w:rPr>
      </w:pPr>
    </w:p>
    <w:p w14:paraId="47F3850D" w14:textId="0C22CCD9" w:rsidR="00583040" w:rsidRPr="00733EBD" w:rsidRDefault="0053130B" w:rsidP="00583040">
      <w:pPr>
        <w:rPr>
          <w:rFonts w:ascii="Ping LCG Regular" w:eastAsia="Calibri" w:hAnsi="Ping LCG Regular" w:cs="Arial"/>
          <w:b/>
          <w:color w:val="000000"/>
          <w:sz w:val="20"/>
          <w:szCs w:val="20"/>
        </w:rPr>
      </w:pPr>
      <w:r w:rsidRPr="0053130B">
        <w:rPr>
          <w:noProof/>
        </w:rPr>
        <w:drawing>
          <wp:inline distT="0" distB="0" distL="0" distR="0" wp14:anchorId="11543308" wp14:editId="6915D63F">
            <wp:extent cx="5490210" cy="6818630"/>
            <wp:effectExtent l="0" t="0" r="0" b="1270"/>
            <wp:docPr id="1059432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0210" cy="6818630"/>
                    </a:xfrm>
                    <a:prstGeom prst="rect">
                      <a:avLst/>
                    </a:prstGeom>
                    <a:noFill/>
                    <a:ln>
                      <a:noFill/>
                    </a:ln>
                  </pic:spPr>
                </pic:pic>
              </a:graphicData>
            </a:graphic>
          </wp:inline>
        </w:drawing>
      </w:r>
    </w:p>
    <w:p w14:paraId="10199337" w14:textId="06B9686D" w:rsidR="00F24A12" w:rsidRPr="000A26D2" w:rsidRDefault="00505703" w:rsidP="00583040">
      <w:pPr>
        <w:pStyle w:val="DehPressRelease"/>
        <w:jc w:val="both"/>
      </w:pPr>
      <w:r w:rsidRPr="00505703">
        <w:t xml:space="preserve"> </w:t>
      </w:r>
      <w:r w:rsidR="00583040" w:rsidRPr="000A26D2">
        <w:t xml:space="preserve">  </w:t>
      </w:r>
    </w:p>
    <w:p w14:paraId="4588C016" w14:textId="2A3DD86C" w:rsidR="00020680" w:rsidRPr="00EF27E4" w:rsidRDefault="00020680">
      <w:pPr>
        <w:rPr>
          <w:rFonts w:ascii="Ping LCG Regular" w:hAnsi="Ping LCG Regular"/>
          <w:sz w:val="22"/>
          <w:szCs w:val="28"/>
          <w:highlight w:val="yellow"/>
          <w:lang w:val="el-GR"/>
        </w:rPr>
      </w:pPr>
      <w:r w:rsidRPr="00EF27E4">
        <w:rPr>
          <w:highlight w:val="yellow"/>
          <w:lang w:val="el-GR"/>
        </w:rPr>
        <w:br w:type="page"/>
      </w:r>
    </w:p>
    <w:p w14:paraId="232F7888" w14:textId="6637DE57" w:rsidR="000C12C5" w:rsidRPr="00930D58" w:rsidRDefault="000C12C5" w:rsidP="00962C9D">
      <w:pPr>
        <w:autoSpaceDE w:val="0"/>
        <w:autoSpaceDN w:val="0"/>
        <w:adjustRightInd w:val="0"/>
        <w:rPr>
          <w:rFonts w:ascii="Ping LCG Regular" w:hAnsi="Ping LCG Regular" w:cs="Calibri Light"/>
          <w:b/>
          <w:color w:val="000000"/>
          <w:sz w:val="20"/>
          <w:szCs w:val="20"/>
          <w:lang w:val="el-GR"/>
        </w:rPr>
      </w:pPr>
      <w:r w:rsidRPr="00930D58">
        <w:rPr>
          <w:rFonts w:ascii="Ping LCG Regular" w:hAnsi="Ping LCG Regular" w:cs="Calibri Light"/>
          <w:b/>
          <w:color w:val="000000"/>
          <w:sz w:val="20"/>
          <w:szCs w:val="20"/>
          <w:lang w:val="el-GR"/>
        </w:rPr>
        <w:lastRenderedPageBreak/>
        <w:t>ΠΑΡΑΡΤΗΜΑ</w:t>
      </w:r>
      <w:r w:rsidR="00015B62" w:rsidRPr="00930D58">
        <w:rPr>
          <w:rFonts w:ascii="Ping LCG Regular" w:hAnsi="Ping LCG Regular" w:cs="Calibri Light"/>
          <w:b/>
          <w:color w:val="000000"/>
          <w:sz w:val="20"/>
          <w:szCs w:val="20"/>
          <w:lang w:val="el-GR"/>
        </w:rPr>
        <w:t xml:space="preserve"> </w:t>
      </w:r>
      <w:r w:rsidR="00015B62" w:rsidRPr="00930D58">
        <w:rPr>
          <w:rFonts w:ascii="Ping LCG Regular" w:hAnsi="Ping LCG Regular" w:cs="Calibri Light"/>
          <w:b/>
          <w:color w:val="000000"/>
          <w:sz w:val="20"/>
          <w:szCs w:val="20"/>
        </w:rPr>
        <w:t>II</w:t>
      </w:r>
    </w:p>
    <w:p w14:paraId="6F2FAC48" w14:textId="77777777" w:rsidR="000C12C5" w:rsidRPr="00930D58" w:rsidRDefault="000C12C5" w:rsidP="00962C9D">
      <w:pPr>
        <w:autoSpaceDE w:val="0"/>
        <w:autoSpaceDN w:val="0"/>
        <w:adjustRightInd w:val="0"/>
        <w:rPr>
          <w:rFonts w:ascii="Ping LCG Regular" w:hAnsi="Ping LCG Regular" w:cs="Calibri Light"/>
          <w:b/>
          <w:color w:val="000000"/>
          <w:sz w:val="20"/>
          <w:szCs w:val="20"/>
          <w:lang w:val="el-GR"/>
        </w:rPr>
      </w:pPr>
    </w:p>
    <w:p w14:paraId="43147FE4" w14:textId="77777777" w:rsidR="00E20855" w:rsidRPr="0060745C" w:rsidRDefault="00E20855" w:rsidP="00E20855">
      <w:pPr>
        <w:autoSpaceDE w:val="0"/>
        <w:autoSpaceDN w:val="0"/>
        <w:adjustRightInd w:val="0"/>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t>Ορισμοί και συμφωνία των Εναλλακτικών Δεικτών Μέτρησης Απόδοσης (“ΕΔΜΑ”)</w:t>
      </w:r>
    </w:p>
    <w:p w14:paraId="047B1936" w14:textId="77777777" w:rsidR="00E20855" w:rsidRPr="0060745C" w:rsidRDefault="00E20855" w:rsidP="00E20855">
      <w:pPr>
        <w:autoSpaceDE w:val="0"/>
        <w:autoSpaceDN w:val="0"/>
        <w:adjustRightInd w:val="0"/>
        <w:rPr>
          <w:rFonts w:ascii="Ping LCG Regular" w:hAnsi="Ping LCG Regular" w:cstheme="minorHAnsi"/>
          <w:b/>
          <w:color w:val="000000"/>
          <w:sz w:val="20"/>
          <w:szCs w:val="20"/>
          <w:lang w:val="el-GR"/>
        </w:rPr>
      </w:pPr>
    </w:p>
    <w:p w14:paraId="0182D5C2" w14:textId="77777777" w:rsidR="00E20855" w:rsidRPr="00E20855" w:rsidRDefault="00E20855" w:rsidP="00E20855">
      <w:pPr>
        <w:autoSpaceDE w:val="0"/>
        <w:autoSpaceDN w:val="0"/>
        <w:adjustRightInd w:val="0"/>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t xml:space="preserve">ΕΝΑΛΛΑΚΤΙΚΟΙ ΔΕΙΚΤΕΣ ΜΕΤΡΗΣΗΣ ΑΠΟΔΟΣΗΣ (“ΕΔΜΑ”) </w:t>
      </w:r>
    </w:p>
    <w:p w14:paraId="134F1C3E"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r w:rsidRPr="00E20855">
        <w:rPr>
          <w:rFonts w:ascii="Ping LCG Regular" w:hAnsi="Ping LCG Regular" w:cstheme="minorHAnsi"/>
          <w:color w:val="000000"/>
          <w:sz w:val="20"/>
          <w:szCs w:val="20"/>
          <w:lang w:val="el-GR"/>
        </w:rPr>
        <w:t xml:space="preserve">Ο Όμιλος χρησιμοποιεί Εναλλακτικούς Δείκτες Μέτρησης Απόδοσης (“ΕΔΜΑ”) στο πλαίσιο λήψης αποφάσεων σχετικά με τον χρηματοοικονομικό, λειτουργικό και στρατηγικό σχεδιασμό του καθώς και για την αξιολόγηση και την δημοσίευση των επιδόσεών του. Αυτοί οι ΕΔΜΑ εξυπηρετούν στην καλύτερη κατανόηση των χρηματοοικονομικών και λειτουργικών αποτελεσμάτων του Ομίλου, της χρηματοοικονομικής του θέσης καθώς και της κατάστασης ταμειακών ροών. Οι εναλλακτικοί δείκτες (ΕΔΜΑ) θα πρέπει να λαμβάνονται υπόψη πάντα σε συνδυασμό με τα οικονομικά αποτελέσματα που έχουν συνταχθεί σύμφωνα με τα ΔΠΧΑ και σε καμία περίπτωση δεν αντικαθιστούν αυτά. </w:t>
      </w:r>
    </w:p>
    <w:p w14:paraId="5CFB22CE"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p>
    <w:p w14:paraId="29732B97" w14:textId="77777777" w:rsidR="00E20855" w:rsidRPr="0060745C" w:rsidRDefault="00E20855" w:rsidP="00E20855">
      <w:pPr>
        <w:autoSpaceDE w:val="0"/>
        <w:autoSpaceDN w:val="0"/>
        <w:adjustRightInd w:val="0"/>
        <w:jc w:val="both"/>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t xml:space="preserve">Εναλλακτικοί Δείκτες Μέτρησης Απόδοσης (“ΕΔΜΑ”) </w:t>
      </w:r>
    </w:p>
    <w:p w14:paraId="425C0D7B" w14:textId="766C6761"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r w:rsidRPr="00E20855">
        <w:rPr>
          <w:rFonts w:ascii="Ping LCG Regular" w:hAnsi="Ping LCG Regular" w:cstheme="minorHAnsi"/>
          <w:color w:val="000000"/>
          <w:sz w:val="20"/>
          <w:szCs w:val="20"/>
          <w:lang w:val="el-GR"/>
        </w:rPr>
        <w:t xml:space="preserve">Κατά την περιγραφή των επιδόσεων του Ομίλου χρησιμοποιούνται “Προσαρμοσμένοι” δείκτες όπως: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Προσαρμοσμένο χωρίς Ειδικές προσαρμογές, Λειτουργικές Δαπάνες προ αποσβέσεων και </w:t>
      </w:r>
      <w:proofErr w:type="spellStart"/>
      <w:r w:rsidRPr="00E20855">
        <w:rPr>
          <w:rFonts w:ascii="Ping LCG Regular" w:hAnsi="Ping LCG Regular" w:cstheme="minorHAnsi"/>
          <w:color w:val="000000"/>
          <w:sz w:val="20"/>
          <w:szCs w:val="20"/>
          <w:lang w:val="el-GR"/>
        </w:rPr>
        <w:t>απομειώσεων</w:t>
      </w:r>
      <w:proofErr w:type="spellEnd"/>
      <w:r w:rsidRPr="00E20855">
        <w:rPr>
          <w:rFonts w:ascii="Ping LCG Regular" w:hAnsi="Ping LCG Regular" w:cstheme="minorHAnsi"/>
          <w:color w:val="000000"/>
          <w:sz w:val="20"/>
          <w:szCs w:val="20"/>
          <w:lang w:val="el-GR"/>
        </w:rPr>
        <w:t>, συνολικών καθαρών χρηματοοικονομικών δαπανών και κερδών/(ζημιών) από συγγενείς εταιρείες χωρίς Ειδικές προσαρμογές, Καθαρά Κέρδη / (Ζημίες) χωρίς Ειδικές προσαρμογές και Καθαρά Κέρδη/(Ζημίες) μετά από Δικαιώματα Μειοψηφίας Προσαρμοσμένα. Οι δείκτες αυτοί υπολογίζονται αφαιρώντας από τους οικονομικούς δείκτες, οι οποίοι έχουν υπολογιστεί από κονδύλια των ετήσιων ή ενδιάμεσων οικονομικών καταστάσεων, την επίδραση και τα κόστη που προκύπτουν από γεγονότα τα οποία συνέβησαν κατά την εκάστοτε περίοδο αναφοράς και τα οποία δεν έχουν επηρεάσει τα ποσά των προηγούμενων περιόδων.</w:t>
      </w:r>
    </w:p>
    <w:p w14:paraId="607E086A"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p>
    <w:p w14:paraId="5E15B774" w14:textId="0E34E702" w:rsidR="00E20855" w:rsidRPr="0060745C" w:rsidRDefault="00E20855" w:rsidP="00E20855">
      <w:pPr>
        <w:autoSpaceDE w:val="0"/>
        <w:autoSpaceDN w:val="0"/>
        <w:adjustRightInd w:val="0"/>
        <w:jc w:val="both"/>
        <w:rPr>
          <w:rFonts w:ascii="Ping LCG Regular" w:hAnsi="Ping LCG Regular" w:cstheme="minorHAnsi"/>
          <w:b/>
          <w:color w:val="000000"/>
          <w:sz w:val="20"/>
          <w:szCs w:val="20"/>
          <w:lang w:val="el-GR"/>
        </w:rPr>
      </w:pPr>
      <w:r w:rsidRPr="00D813DE">
        <w:rPr>
          <w:rFonts w:ascii="Ping LCG Regular" w:hAnsi="Ping LCG Regular" w:cstheme="minorHAnsi"/>
          <w:b/>
          <w:color w:val="000000"/>
          <w:sz w:val="20"/>
          <w:szCs w:val="20"/>
        </w:rPr>
        <w:t>EBITDA</w:t>
      </w:r>
      <w:r w:rsidRPr="00E20855">
        <w:rPr>
          <w:rFonts w:ascii="Ping LCG Regular" w:hAnsi="Ping LCG Regular" w:cstheme="minorHAnsi"/>
          <w:b/>
          <w:color w:val="000000"/>
          <w:sz w:val="20"/>
          <w:szCs w:val="20"/>
          <w:lang w:val="el-GR"/>
        </w:rPr>
        <w:t xml:space="preserve"> (Δείκτης λειτουργικών κερδών πριν από αποσβέσεις και </w:t>
      </w:r>
      <w:proofErr w:type="spellStart"/>
      <w:r w:rsidRPr="00E20855">
        <w:rPr>
          <w:rFonts w:ascii="Ping LCG Regular" w:hAnsi="Ping LCG Regular" w:cstheme="minorHAnsi"/>
          <w:b/>
          <w:color w:val="000000"/>
          <w:sz w:val="20"/>
          <w:szCs w:val="20"/>
          <w:lang w:val="el-GR"/>
        </w:rPr>
        <w:t>απομειώσεις</w:t>
      </w:r>
      <w:proofErr w:type="spellEnd"/>
      <w:r w:rsidRPr="00E20855">
        <w:rPr>
          <w:rFonts w:ascii="Ping LCG Regular" w:hAnsi="Ping LCG Regular" w:cstheme="minorHAnsi"/>
          <w:b/>
          <w:color w:val="000000"/>
          <w:sz w:val="20"/>
          <w:szCs w:val="20"/>
          <w:lang w:val="el-GR"/>
        </w:rPr>
        <w:t xml:space="preserve">, καθαρές χρηματοοικονομικές δαπάνες και φόρους) </w:t>
      </w:r>
    </w:p>
    <w:p w14:paraId="022BBB08"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r w:rsidRPr="00E20855">
        <w:rPr>
          <w:rFonts w:ascii="Ping LCG Regular" w:hAnsi="Ping LCG Regular" w:cstheme="minorHAnsi"/>
          <w:color w:val="000000"/>
          <w:sz w:val="20"/>
          <w:szCs w:val="20"/>
          <w:lang w:val="el-GR"/>
        </w:rPr>
        <w:t xml:space="preserve">Ο δείκτης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εξυπηρετεί στην καλύτερη ανάλυση των λειτουργικών αποτελεσμάτων του Ομίλου και υπολογίζεται ως εξής: Σύνολο κύκλου εργασιών μείον το σύνολο των λειτουργικών εξόδων πριν από αποσβέσεις και </w:t>
      </w:r>
      <w:proofErr w:type="spellStart"/>
      <w:r w:rsidRPr="00E20855">
        <w:rPr>
          <w:rFonts w:ascii="Ping LCG Regular" w:hAnsi="Ping LCG Regular" w:cstheme="minorHAnsi"/>
          <w:color w:val="000000"/>
          <w:sz w:val="20"/>
          <w:szCs w:val="20"/>
          <w:lang w:val="el-GR"/>
        </w:rPr>
        <w:t>απομειώσεις</w:t>
      </w:r>
      <w:proofErr w:type="spellEnd"/>
      <w:r w:rsidRPr="00E20855">
        <w:rPr>
          <w:rFonts w:ascii="Ping LCG Regular" w:hAnsi="Ping LCG Regular" w:cstheme="minorHAnsi"/>
          <w:color w:val="000000"/>
          <w:sz w:val="20"/>
          <w:szCs w:val="20"/>
          <w:lang w:val="el-GR"/>
        </w:rPr>
        <w:t>. Οι υπολογισμοί παρουσιάζονται στον Πίνακα Α.</w:t>
      </w:r>
    </w:p>
    <w:p w14:paraId="62B2C5DF"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p>
    <w:p w14:paraId="7F5DDD0B" w14:textId="37C6FA10" w:rsidR="00E20855" w:rsidRPr="0060745C" w:rsidRDefault="00E20855" w:rsidP="00E20855">
      <w:pPr>
        <w:autoSpaceDE w:val="0"/>
        <w:autoSpaceDN w:val="0"/>
        <w:adjustRightInd w:val="0"/>
        <w:jc w:val="both"/>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t xml:space="preserve">Λειτουργικές Δαπάνες προ αποσβέσεων και </w:t>
      </w:r>
      <w:proofErr w:type="spellStart"/>
      <w:r w:rsidRPr="00E20855">
        <w:rPr>
          <w:rFonts w:ascii="Ping LCG Regular" w:hAnsi="Ping LCG Regular" w:cstheme="minorHAnsi"/>
          <w:b/>
          <w:color w:val="000000"/>
          <w:sz w:val="20"/>
          <w:szCs w:val="20"/>
          <w:lang w:val="el-GR"/>
        </w:rPr>
        <w:t>απομειώσεων</w:t>
      </w:r>
      <w:proofErr w:type="spellEnd"/>
      <w:r w:rsidRPr="00E20855">
        <w:rPr>
          <w:rFonts w:ascii="Ping LCG Regular" w:hAnsi="Ping LCG Regular" w:cstheme="minorHAnsi"/>
          <w:b/>
          <w:color w:val="000000"/>
          <w:sz w:val="20"/>
          <w:szCs w:val="20"/>
          <w:lang w:val="el-GR"/>
        </w:rPr>
        <w:t>, συνολικών καθαρών χρηματοοικονομικών δαπανών και κερδών/(ζημιών) από συγγενείς εταιρείες χωρίς Ειδικές προσαρμογές</w:t>
      </w:r>
    </w:p>
    <w:p w14:paraId="4EF5E874"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r w:rsidRPr="00E20855">
        <w:rPr>
          <w:rFonts w:ascii="Ping LCG Regular" w:hAnsi="Ping LCG Regular" w:cstheme="minorHAnsi"/>
          <w:color w:val="000000"/>
          <w:sz w:val="20"/>
          <w:szCs w:val="20"/>
          <w:lang w:val="el-GR"/>
        </w:rPr>
        <w:t xml:space="preserve">Ο δείκτης αυτός προκύπτει αν από τη γραμμή «Λειτουργικές Δαπάνες προ Αποσβέσεων και </w:t>
      </w:r>
      <w:proofErr w:type="spellStart"/>
      <w:r w:rsidRPr="00E20855">
        <w:rPr>
          <w:rFonts w:ascii="Ping LCG Regular" w:hAnsi="Ping LCG Regular" w:cstheme="minorHAnsi"/>
          <w:color w:val="000000"/>
          <w:sz w:val="20"/>
          <w:szCs w:val="20"/>
          <w:lang w:val="el-GR"/>
        </w:rPr>
        <w:t>Απομειώσεων</w:t>
      </w:r>
      <w:proofErr w:type="spellEnd"/>
      <w:r w:rsidRPr="00E20855">
        <w:rPr>
          <w:rFonts w:ascii="Ping LCG Regular" w:hAnsi="Ping LCG Regular" w:cstheme="minorHAnsi"/>
          <w:color w:val="000000"/>
          <w:sz w:val="20"/>
          <w:szCs w:val="20"/>
          <w:lang w:val="el-GR"/>
        </w:rPr>
        <w:t xml:space="preserve">» του πίνακα του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όπως παρουσιάζεται ανωτέρω, αφαιρεθούν οι Ειδικές προσαρμογές που αναφέρονται στη σημείωση του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Προσαρμοσμένου κατωτέρω. Ο δείκτης παρουσιάζεται στον Πίνακα Β.</w:t>
      </w:r>
    </w:p>
    <w:p w14:paraId="4AE394EA" w14:textId="77777777" w:rsidR="00E20855" w:rsidRPr="0060745C" w:rsidRDefault="00E20855" w:rsidP="00E20855">
      <w:pPr>
        <w:autoSpaceDE w:val="0"/>
        <w:autoSpaceDN w:val="0"/>
        <w:adjustRightInd w:val="0"/>
        <w:jc w:val="both"/>
        <w:rPr>
          <w:rFonts w:ascii="Ping LCG Regular" w:hAnsi="Ping LCG Regular" w:cstheme="minorHAnsi"/>
          <w:color w:val="000000"/>
          <w:sz w:val="20"/>
          <w:szCs w:val="20"/>
          <w:lang w:val="el-GR"/>
        </w:rPr>
      </w:pPr>
    </w:p>
    <w:p w14:paraId="17D4A8A1" w14:textId="1E8EF120" w:rsidR="00E20855" w:rsidRPr="0060745C" w:rsidRDefault="00E20855" w:rsidP="00E20855">
      <w:pPr>
        <w:autoSpaceDE w:val="0"/>
        <w:autoSpaceDN w:val="0"/>
        <w:adjustRightInd w:val="0"/>
        <w:jc w:val="both"/>
        <w:rPr>
          <w:rFonts w:ascii="Ping LCG Regular" w:hAnsi="Ping LCG Regular" w:cstheme="minorHAnsi"/>
          <w:b/>
          <w:color w:val="000000"/>
          <w:sz w:val="20"/>
          <w:szCs w:val="20"/>
          <w:lang w:val="el-GR"/>
        </w:rPr>
      </w:pPr>
      <w:r w:rsidRPr="00D813DE">
        <w:rPr>
          <w:rFonts w:ascii="Ping LCG Regular" w:hAnsi="Ping LCG Regular" w:cstheme="minorHAnsi"/>
          <w:b/>
          <w:color w:val="000000"/>
          <w:sz w:val="20"/>
          <w:szCs w:val="20"/>
        </w:rPr>
        <w:t>EBITDA</w:t>
      </w:r>
      <w:r w:rsidRPr="00E20855">
        <w:rPr>
          <w:rFonts w:ascii="Ping LCG Regular" w:hAnsi="Ping LCG Regular" w:cstheme="minorHAnsi"/>
          <w:b/>
          <w:color w:val="000000"/>
          <w:sz w:val="20"/>
          <w:szCs w:val="20"/>
          <w:lang w:val="el-GR"/>
        </w:rPr>
        <w:t xml:space="preserve"> Προσαρμοσμένο (Δείκτης λειτουργικών κερδών πριν από αποσβέσεις και </w:t>
      </w:r>
      <w:proofErr w:type="spellStart"/>
      <w:r w:rsidRPr="00E20855">
        <w:rPr>
          <w:rFonts w:ascii="Ping LCG Regular" w:hAnsi="Ping LCG Regular" w:cstheme="minorHAnsi"/>
          <w:b/>
          <w:color w:val="000000"/>
          <w:sz w:val="20"/>
          <w:szCs w:val="20"/>
          <w:lang w:val="el-GR"/>
        </w:rPr>
        <w:t>απομειώσεις</w:t>
      </w:r>
      <w:proofErr w:type="spellEnd"/>
      <w:r w:rsidRPr="00E20855">
        <w:rPr>
          <w:rFonts w:ascii="Ping LCG Regular" w:hAnsi="Ping LCG Regular" w:cstheme="minorHAnsi"/>
          <w:b/>
          <w:color w:val="000000"/>
          <w:sz w:val="20"/>
          <w:szCs w:val="20"/>
          <w:lang w:val="el-GR"/>
        </w:rPr>
        <w:t xml:space="preserve">, καθαρές χρηματοοικονομικές δαπάνες και φόρους) </w:t>
      </w:r>
    </w:p>
    <w:p w14:paraId="5455F73D" w14:textId="75139CCB" w:rsidR="00E20855" w:rsidRPr="00E20855" w:rsidRDefault="00E20855" w:rsidP="00E20855">
      <w:pPr>
        <w:autoSpaceDE w:val="0"/>
        <w:autoSpaceDN w:val="0"/>
        <w:adjustRightInd w:val="0"/>
        <w:jc w:val="both"/>
        <w:rPr>
          <w:rFonts w:ascii="Ping LCG Regular" w:hAnsi="Ping LCG Regular" w:cstheme="minorHAnsi"/>
          <w:color w:val="000000"/>
          <w:sz w:val="20"/>
          <w:szCs w:val="20"/>
          <w:lang w:val="el-GR"/>
        </w:rPr>
      </w:pPr>
      <w:r w:rsidRPr="00E20855">
        <w:rPr>
          <w:rFonts w:ascii="Ping LCG Regular" w:hAnsi="Ping LCG Regular" w:cstheme="minorHAnsi"/>
          <w:color w:val="000000"/>
          <w:sz w:val="20"/>
          <w:szCs w:val="20"/>
          <w:lang w:val="el-GR"/>
        </w:rPr>
        <w:t xml:space="preserve">Το </w:t>
      </w:r>
      <w:r w:rsidRPr="00D813DE">
        <w:rPr>
          <w:rFonts w:ascii="Ping LCG Regular" w:hAnsi="Ping LCG Regular" w:cstheme="minorHAnsi"/>
          <w:color w:val="000000"/>
          <w:sz w:val="20"/>
          <w:szCs w:val="20"/>
        </w:rPr>
        <w:t>EBITD</w:t>
      </w:r>
      <w:r w:rsidRPr="00E20855">
        <w:rPr>
          <w:rFonts w:ascii="Ping LCG Regular" w:hAnsi="Ping LCG Regular" w:cstheme="minorHAnsi"/>
          <w:color w:val="000000"/>
          <w:sz w:val="20"/>
          <w:szCs w:val="20"/>
          <w:lang w:val="el-GR"/>
        </w:rPr>
        <w:t xml:space="preserve">Α Προσαρμοσμένο εξυπηρετεί στην καλύτερη ανάλυση των λειτουργικών αποτελεσμάτων του Ομίλου, εξαιρουμένης της επίδρασης των Ειδικών προσαρμογών. Για τη χρήση 2023 οι ειδικές προσαρμογές που επηρέασαν το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Προσαρμοσμένο είναι οι ακόλουθες: α) πρόβλεψη αποζημιώσεων προσωπικού ποσού ύψους €25 εκατ. (αρνητική επίπτωση) β) αποτίμηση συμβάσεων αγοραπωλησίας ηλεκτρικής ενέργειας ύψους €7 εκατ. (αρνητική επίπτωση). Για τη χρήση 2024 οι ειδικές προσαρμογές που επηρέασαν το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Προσαρμοσμένο είναι οι ακόλουθες: α) πρόβλεψη αποζημιώσεων προσωπικού ποσού ύψους €9 εκατ. (αρνητική επίπτωση) β) αποτίμηση συμβάσεων αγοραπωλησίας ηλεκτρικής ενέργειας ύψους €8</w:t>
      </w:r>
      <w:r w:rsidR="00225D5E">
        <w:rPr>
          <w:rFonts w:ascii="Ping LCG Regular" w:hAnsi="Ping LCG Regular" w:cstheme="minorHAnsi"/>
          <w:color w:val="000000"/>
          <w:sz w:val="20"/>
          <w:szCs w:val="20"/>
          <w:lang w:val="el-GR"/>
        </w:rPr>
        <w:t>6</w:t>
      </w:r>
      <w:r w:rsidRPr="00E20855">
        <w:rPr>
          <w:rFonts w:ascii="Ping LCG Regular" w:hAnsi="Ping LCG Regular" w:cstheme="minorHAnsi"/>
          <w:color w:val="000000"/>
          <w:sz w:val="20"/>
          <w:szCs w:val="20"/>
          <w:lang w:val="el-GR"/>
        </w:rPr>
        <w:t xml:space="preserve"> εκατ. (αρνητική επίπτωση). Ο υπολογισμός του </w:t>
      </w:r>
      <w:r w:rsidRPr="00D813DE">
        <w:rPr>
          <w:rFonts w:ascii="Ping LCG Regular" w:hAnsi="Ping LCG Regular" w:cstheme="minorHAnsi"/>
          <w:color w:val="000000"/>
          <w:sz w:val="20"/>
          <w:szCs w:val="20"/>
        </w:rPr>
        <w:t>EBITDA</w:t>
      </w:r>
      <w:r w:rsidRPr="00E20855">
        <w:rPr>
          <w:rFonts w:ascii="Ping LCG Regular" w:hAnsi="Ping LCG Regular" w:cstheme="minorHAnsi"/>
          <w:color w:val="000000"/>
          <w:sz w:val="20"/>
          <w:szCs w:val="20"/>
          <w:lang w:val="el-GR"/>
        </w:rPr>
        <w:t xml:space="preserve"> Προσαρμοσμένου παρουσιάζεται στον Πίνακα Γ.</w:t>
      </w:r>
    </w:p>
    <w:p w14:paraId="00FAB555" w14:textId="77777777" w:rsidR="00E20855" w:rsidRDefault="00E20855" w:rsidP="00E20855">
      <w:pPr>
        <w:autoSpaceDE w:val="0"/>
        <w:autoSpaceDN w:val="0"/>
        <w:adjustRightInd w:val="0"/>
        <w:jc w:val="both"/>
        <w:rPr>
          <w:rFonts w:ascii="Ping LCG Regular" w:hAnsi="Ping LCG Regular" w:cstheme="minorHAnsi"/>
          <w:b/>
          <w:color w:val="000000"/>
          <w:sz w:val="20"/>
          <w:szCs w:val="20"/>
          <w:lang w:val="el-GR"/>
        </w:rPr>
      </w:pPr>
    </w:p>
    <w:p w14:paraId="00DD6E06" w14:textId="77777777" w:rsidR="00CF4B68" w:rsidRPr="0093475B" w:rsidRDefault="00CF4B68" w:rsidP="00E20855">
      <w:pPr>
        <w:autoSpaceDE w:val="0"/>
        <w:autoSpaceDN w:val="0"/>
        <w:adjustRightInd w:val="0"/>
        <w:jc w:val="both"/>
        <w:rPr>
          <w:rFonts w:ascii="Ping LCG Regular" w:hAnsi="Ping LCG Regular" w:cstheme="minorHAnsi"/>
          <w:b/>
          <w:color w:val="000000"/>
          <w:sz w:val="20"/>
          <w:szCs w:val="20"/>
          <w:lang w:val="el-GR"/>
        </w:rPr>
      </w:pPr>
    </w:p>
    <w:p w14:paraId="2D0B2D03" w14:textId="77777777" w:rsidR="00E20855" w:rsidRPr="00E20855" w:rsidRDefault="00E20855" w:rsidP="00E20855">
      <w:pPr>
        <w:autoSpaceDE w:val="0"/>
        <w:autoSpaceDN w:val="0"/>
        <w:adjustRightInd w:val="0"/>
        <w:jc w:val="both"/>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lastRenderedPageBreak/>
        <w:t>Καθαρά Κέρδη/(Ζημίες) Προσαρμοσμένα (Δείκτης καθαρών Κερδών/(Ζημιών))</w:t>
      </w:r>
    </w:p>
    <w:p w14:paraId="20CA893C" w14:textId="0C730F09" w:rsidR="00E20855" w:rsidRPr="00E20855" w:rsidRDefault="00E20855" w:rsidP="00E20855">
      <w:pPr>
        <w:autoSpaceDE w:val="0"/>
        <w:autoSpaceDN w:val="0"/>
        <w:adjustRightInd w:val="0"/>
        <w:jc w:val="both"/>
        <w:rPr>
          <w:rFonts w:ascii="Ping LCG Regular" w:hAnsi="Ping LCG Regular" w:cstheme="minorHAnsi"/>
          <w:bCs/>
          <w:color w:val="000000"/>
          <w:sz w:val="20"/>
          <w:szCs w:val="20"/>
          <w:lang w:val="el-GR"/>
        </w:rPr>
      </w:pPr>
      <w:r w:rsidRPr="00E20855">
        <w:rPr>
          <w:rFonts w:ascii="Ping LCG Regular" w:hAnsi="Ping LCG Regular" w:cstheme="minorHAnsi"/>
          <w:bCs/>
          <w:color w:val="000000"/>
          <w:sz w:val="20"/>
          <w:szCs w:val="20"/>
          <w:lang w:val="el-GR"/>
        </w:rPr>
        <w:t xml:space="preserve">Ο δείκτης αυτός εξυπηρετεί στην καλύτερη ανάλυση των αποτελεσμάτων του Ομίλου, εξαιρουμένης της επίδρασης των Ειδικών προσαρμογών και του υπολογισμένου φόρου επί αυτών. Το 2024 για τον Όμιλο έχουν επιπρόσθετα εξαιρεθεί οι </w:t>
      </w:r>
      <w:r w:rsidRPr="00D813DE">
        <w:rPr>
          <w:rFonts w:ascii="Ping LCG Regular" w:hAnsi="Ping LCG Regular" w:cstheme="minorHAnsi"/>
          <w:bCs/>
          <w:color w:val="000000"/>
          <w:sz w:val="20"/>
          <w:szCs w:val="20"/>
        </w:rPr>
        <w:t>Y</w:t>
      </w:r>
      <w:proofErr w:type="spellStart"/>
      <w:r w:rsidRPr="00E20855">
        <w:rPr>
          <w:rFonts w:ascii="Ping LCG Regular" w:hAnsi="Ping LCG Regular" w:cstheme="minorHAnsi"/>
          <w:bCs/>
          <w:color w:val="000000"/>
          <w:sz w:val="20"/>
          <w:szCs w:val="20"/>
          <w:lang w:val="el-GR"/>
        </w:rPr>
        <w:t>ποαξίες</w:t>
      </w:r>
      <w:proofErr w:type="spellEnd"/>
      <w:r w:rsidRPr="00E20855">
        <w:rPr>
          <w:rFonts w:ascii="Ping LCG Regular" w:hAnsi="Ping LCG Regular" w:cstheme="minorHAnsi"/>
          <w:bCs/>
          <w:color w:val="000000"/>
          <w:sz w:val="20"/>
          <w:szCs w:val="20"/>
          <w:lang w:val="el-GR"/>
        </w:rPr>
        <w:t xml:space="preserve"> αποτίμησης περιουσιακών στοιχείων και ο φόρος επί αυτών, ενώ το 2023 έχουν εξαιρεθεί α) οι </w:t>
      </w:r>
      <w:r w:rsidRPr="00D813DE">
        <w:rPr>
          <w:rFonts w:ascii="Ping LCG Regular" w:hAnsi="Ping LCG Regular" w:cstheme="minorHAnsi"/>
          <w:bCs/>
          <w:color w:val="000000"/>
          <w:sz w:val="20"/>
          <w:szCs w:val="20"/>
        </w:rPr>
        <w:t>Y</w:t>
      </w:r>
      <w:proofErr w:type="spellStart"/>
      <w:r w:rsidRPr="00E20855">
        <w:rPr>
          <w:rFonts w:ascii="Ping LCG Regular" w:hAnsi="Ping LCG Regular" w:cstheme="minorHAnsi"/>
          <w:bCs/>
          <w:color w:val="000000"/>
          <w:sz w:val="20"/>
          <w:szCs w:val="20"/>
          <w:lang w:val="el-GR"/>
        </w:rPr>
        <w:t>ποαξίες</w:t>
      </w:r>
      <w:proofErr w:type="spellEnd"/>
      <w:r w:rsidRPr="00E20855">
        <w:rPr>
          <w:rFonts w:ascii="Ping LCG Regular" w:hAnsi="Ping LCG Regular" w:cstheme="minorHAnsi"/>
          <w:bCs/>
          <w:color w:val="000000"/>
          <w:sz w:val="20"/>
          <w:szCs w:val="20"/>
          <w:lang w:val="el-GR"/>
        </w:rPr>
        <w:t xml:space="preserve"> αποτίμησης περιουσιακών στοιχείων και ο φόρος επί αυτών, β) η επίδραση του κέρδους από την απόσχιση κλάδου </w:t>
      </w:r>
      <w:proofErr w:type="spellStart"/>
      <w:r w:rsidRPr="00E20855">
        <w:rPr>
          <w:rFonts w:ascii="Ping LCG Regular" w:hAnsi="Ping LCG Regular" w:cstheme="minorHAnsi"/>
          <w:bCs/>
          <w:color w:val="000000"/>
          <w:sz w:val="20"/>
          <w:szCs w:val="20"/>
          <w:lang w:val="el-GR"/>
        </w:rPr>
        <w:t>Μεταλιγνιτικής</w:t>
      </w:r>
      <w:proofErr w:type="spellEnd"/>
      <w:r w:rsidRPr="00E20855">
        <w:rPr>
          <w:rFonts w:ascii="Ping LCG Regular" w:hAnsi="Ping LCG Regular" w:cstheme="minorHAnsi"/>
          <w:bCs/>
          <w:color w:val="000000"/>
          <w:sz w:val="20"/>
          <w:szCs w:val="20"/>
          <w:lang w:val="el-GR"/>
        </w:rPr>
        <w:t xml:space="preserve"> και ο φόρος επί αυτού, γ) η επίδραση της </w:t>
      </w:r>
      <w:proofErr w:type="spellStart"/>
      <w:r w:rsidRPr="00E20855">
        <w:rPr>
          <w:rFonts w:ascii="Ping LCG Regular" w:hAnsi="Ping LCG Regular" w:cstheme="minorHAnsi"/>
          <w:bCs/>
          <w:color w:val="000000"/>
          <w:sz w:val="20"/>
          <w:szCs w:val="20"/>
          <w:lang w:val="el-GR"/>
        </w:rPr>
        <w:t>Υποαξίας</w:t>
      </w:r>
      <w:proofErr w:type="spellEnd"/>
      <w:r w:rsidRPr="00E20855">
        <w:rPr>
          <w:rFonts w:ascii="Ping LCG Regular" w:hAnsi="Ping LCG Regular" w:cstheme="minorHAnsi"/>
          <w:bCs/>
          <w:color w:val="000000"/>
          <w:sz w:val="20"/>
          <w:szCs w:val="20"/>
          <w:lang w:val="el-GR"/>
        </w:rPr>
        <w:t xml:space="preserve"> εξαγοράς Ρουμάνικων θυγατρικών. Οι υπολογισμοί παρουσιάζονται στον Πίνακα Δ.</w:t>
      </w:r>
    </w:p>
    <w:p w14:paraId="14FF8A2B" w14:textId="77777777" w:rsidR="00E20855" w:rsidRPr="00E20855" w:rsidRDefault="00E20855" w:rsidP="00E20855">
      <w:pPr>
        <w:autoSpaceDE w:val="0"/>
        <w:autoSpaceDN w:val="0"/>
        <w:adjustRightInd w:val="0"/>
        <w:rPr>
          <w:rFonts w:ascii="Ping LCG Regular" w:hAnsi="Ping LCG Regular" w:cstheme="minorHAnsi"/>
          <w:b/>
          <w:color w:val="000000"/>
          <w:sz w:val="20"/>
          <w:szCs w:val="20"/>
          <w:lang w:val="el-GR"/>
        </w:rPr>
      </w:pPr>
    </w:p>
    <w:p w14:paraId="2A645AC4" w14:textId="77777777" w:rsidR="00E20855" w:rsidRPr="00E20855" w:rsidRDefault="00E20855" w:rsidP="00E20855">
      <w:pPr>
        <w:autoSpaceDE w:val="0"/>
        <w:autoSpaceDN w:val="0"/>
        <w:adjustRightInd w:val="0"/>
        <w:jc w:val="both"/>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t>Καθαρά Κέρδη/(Ζημίες) μετά από Δικαιώματα Μειοψηφίας Προσαρμοσμένα</w:t>
      </w:r>
    </w:p>
    <w:p w14:paraId="66FAE9CE" w14:textId="77777777" w:rsidR="00E20855" w:rsidRPr="00E20855" w:rsidRDefault="00E20855" w:rsidP="00E20855">
      <w:pPr>
        <w:autoSpaceDE w:val="0"/>
        <w:autoSpaceDN w:val="0"/>
        <w:adjustRightInd w:val="0"/>
        <w:jc w:val="both"/>
        <w:rPr>
          <w:rFonts w:ascii="Ping LCG Regular" w:hAnsi="Ping LCG Regular" w:cstheme="minorHAnsi"/>
          <w:b/>
          <w:color w:val="000000"/>
          <w:sz w:val="20"/>
          <w:szCs w:val="20"/>
          <w:lang w:val="el-GR"/>
        </w:rPr>
      </w:pPr>
      <w:r w:rsidRPr="00E20855">
        <w:rPr>
          <w:rFonts w:ascii="Ping LCG Regular" w:hAnsi="Ping LCG Regular" w:cstheme="minorHAnsi"/>
          <w:bCs/>
          <w:color w:val="000000"/>
          <w:sz w:val="20"/>
          <w:szCs w:val="20"/>
          <w:lang w:val="el-GR"/>
        </w:rPr>
        <w:t>Τα Καθαρά Κέρδη/(Ζημίες) μετά από Δικαιώματα Μειοψηφίας Προσαρμοσμένα εξυπηρετούν στην καλύτερη ανάλυση των αποτελεσμάτων του Ομίλου, εξαιρουμένης της επίδρασης των Δικαιωμάτων μειοψηφίας, και των Δικαιωμάτων Μειοψηφίας επί των Ειδικών προσαρμογών. Οι υπολογισμοί παρουσιάζονται στον Πίνακα Ε.</w:t>
      </w:r>
    </w:p>
    <w:p w14:paraId="42E868CD" w14:textId="77777777" w:rsidR="00E20855" w:rsidRPr="00E20855" w:rsidRDefault="00E20855" w:rsidP="00E20855">
      <w:pPr>
        <w:autoSpaceDE w:val="0"/>
        <w:autoSpaceDN w:val="0"/>
        <w:adjustRightInd w:val="0"/>
        <w:rPr>
          <w:rFonts w:ascii="Ping LCG Regular" w:hAnsi="Ping LCG Regular" w:cstheme="minorHAnsi"/>
          <w:b/>
          <w:color w:val="000000"/>
          <w:sz w:val="20"/>
          <w:szCs w:val="20"/>
          <w:lang w:val="el-GR"/>
        </w:rPr>
      </w:pPr>
    </w:p>
    <w:p w14:paraId="69096446" w14:textId="77777777" w:rsidR="00E20855" w:rsidRPr="00E20855" w:rsidRDefault="00E20855" w:rsidP="00E20855">
      <w:pPr>
        <w:autoSpaceDE w:val="0"/>
        <w:autoSpaceDN w:val="0"/>
        <w:adjustRightInd w:val="0"/>
        <w:rPr>
          <w:rFonts w:ascii="Ping LCG Regular" w:hAnsi="Ping LCG Regular" w:cstheme="minorHAnsi"/>
          <w:b/>
          <w:color w:val="000000"/>
          <w:sz w:val="20"/>
          <w:szCs w:val="20"/>
          <w:lang w:val="el-GR"/>
        </w:rPr>
      </w:pPr>
      <w:r w:rsidRPr="00E20855">
        <w:rPr>
          <w:rFonts w:ascii="Ping LCG Regular" w:hAnsi="Ping LCG Regular" w:cstheme="minorHAnsi"/>
          <w:b/>
          <w:color w:val="000000"/>
          <w:sz w:val="20"/>
          <w:szCs w:val="20"/>
          <w:lang w:val="el-GR"/>
        </w:rPr>
        <w:t xml:space="preserve">Καθαρός Δανεισμός </w:t>
      </w:r>
    </w:p>
    <w:p w14:paraId="6959A5A9" w14:textId="5A3F3A1C" w:rsidR="00F2736A" w:rsidRPr="00930D58" w:rsidRDefault="00E20855" w:rsidP="001C0875">
      <w:pPr>
        <w:autoSpaceDE w:val="0"/>
        <w:autoSpaceDN w:val="0"/>
        <w:adjustRightInd w:val="0"/>
        <w:jc w:val="both"/>
        <w:rPr>
          <w:rFonts w:ascii="Ping LCG Regular" w:hAnsi="Ping LCG Regular" w:cs="Calibri Light"/>
          <w:bCs/>
          <w:color w:val="000000"/>
          <w:sz w:val="20"/>
          <w:szCs w:val="20"/>
        </w:rPr>
      </w:pPr>
      <w:r w:rsidRPr="00E20855">
        <w:rPr>
          <w:rFonts w:ascii="Ping LCG Regular" w:hAnsi="Ping LCG Regular" w:cstheme="minorHAnsi"/>
          <w:color w:val="000000"/>
          <w:sz w:val="20"/>
          <w:szCs w:val="20"/>
          <w:lang w:val="el-GR"/>
        </w:rPr>
        <w:t xml:space="preserve">Ο καθαρός δανεισμός είναι ένας ΕΔΜΑ που χρησιμοποιεί η διοίκηση για να αξιολογήσει την κεφαλαιακή διάρθρωση του Ομίλου και την δυνατότητα </w:t>
      </w:r>
      <w:proofErr w:type="spellStart"/>
      <w:r w:rsidRPr="00E20855">
        <w:rPr>
          <w:rFonts w:ascii="Ping LCG Regular" w:hAnsi="Ping LCG Regular" w:cstheme="minorHAnsi"/>
          <w:color w:val="000000"/>
          <w:sz w:val="20"/>
          <w:szCs w:val="20"/>
          <w:lang w:val="el-GR"/>
        </w:rPr>
        <w:t>μόχλευσης</w:t>
      </w:r>
      <w:proofErr w:type="spellEnd"/>
      <w:r w:rsidRPr="00E20855">
        <w:rPr>
          <w:rFonts w:ascii="Ping LCG Regular" w:hAnsi="Ping LCG Regular" w:cstheme="minorHAnsi"/>
          <w:color w:val="000000"/>
          <w:sz w:val="20"/>
          <w:szCs w:val="20"/>
          <w:lang w:val="el-GR"/>
        </w:rPr>
        <w:t xml:space="preserve">. Ο καθαρός δανεισμός υπολογίζεται προσθέτοντας στα μακροπρόθεσμα δάνεια το βραχυπρόθεσμο μέρος μακροπρόθεσμων δανείων και τα βραχυπρόθεσμα δάνεια, αφαιρώντας από το σύνολο τα χρηματικά διαθέσιμα, τις δεσμευμένες καταθέσεις που αφορούν σε δανειακές συμβάσεις και τα χρηματοοικονομικά περιουσιακά στοιχεία </w:t>
      </w:r>
      <w:proofErr w:type="spellStart"/>
      <w:r w:rsidRPr="00E20855">
        <w:rPr>
          <w:rFonts w:ascii="Ping LCG Regular" w:hAnsi="Ping LCG Regular" w:cstheme="minorHAnsi"/>
          <w:color w:val="000000"/>
          <w:sz w:val="20"/>
          <w:szCs w:val="20"/>
          <w:lang w:val="el-GR"/>
        </w:rPr>
        <w:t>επιμετρούμενα</w:t>
      </w:r>
      <w:proofErr w:type="spellEnd"/>
      <w:r w:rsidRPr="00E20855">
        <w:rPr>
          <w:rFonts w:ascii="Ping LCG Regular" w:hAnsi="Ping LCG Regular" w:cstheme="minorHAnsi"/>
          <w:color w:val="000000"/>
          <w:sz w:val="20"/>
          <w:szCs w:val="20"/>
          <w:lang w:val="el-GR"/>
        </w:rPr>
        <w:t xml:space="preserve"> στην εύλογη αξία μέσω των συνολικών εισοδημάτων και προσθέτοντας το </w:t>
      </w:r>
      <w:proofErr w:type="spellStart"/>
      <w:r w:rsidRPr="00E20855">
        <w:rPr>
          <w:rFonts w:ascii="Ping LCG Regular" w:hAnsi="Ping LCG Regular" w:cstheme="minorHAnsi"/>
          <w:color w:val="000000"/>
          <w:sz w:val="20"/>
          <w:szCs w:val="20"/>
          <w:lang w:val="el-GR"/>
        </w:rPr>
        <w:t>αναπόσβεστο</w:t>
      </w:r>
      <w:proofErr w:type="spellEnd"/>
      <w:r w:rsidRPr="00E20855">
        <w:rPr>
          <w:rFonts w:ascii="Ping LCG Regular" w:hAnsi="Ping LCG Regular" w:cstheme="minorHAnsi"/>
          <w:color w:val="000000"/>
          <w:sz w:val="20"/>
          <w:szCs w:val="20"/>
          <w:lang w:val="el-GR"/>
        </w:rPr>
        <w:t xml:space="preserve"> μέρος των εξόδων σύναψης δανείων και προσαρμογών ΔΠΧΑ 9. </w:t>
      </w:r>
      <w:proofErr w:type="spellStart"/>
      <w:r w:rsidRPr="00D813DE">
        <w:rPr>
          <w:rFonts w:ascii="Ping LCG Regular" w:hAnsi="Ping LCG Regular" w:cstheme="minorHAnsi"/>
          <w:color w:val="000000"/>
          <w:sz w:val="20"/>
          <w:szCs w:val="20"/>
        </w:rPr>
        <w:t>Οι</w:t>
      </w:r>
      <w:proofErr w:type="spellEnd"/>
      <w:r w:rsidRPr="00D813DE">
        <w:rPr>
          <w:rFonts w:ascii="Ping LCG Regular" w:hAnsi="Ping LCG Regular" w:cstheme="minorHAnsi"/>
          <w:color w:val="000000"/>
          <w:sz w:val="20"/>
          <w:szCs w:val="20"/>
        </w:rPr>
        <w:t xml:space="preserve"> υπ</w:t>
      </w:r>
      <w:proofErr w:type="spellStart"/>
      <w:r w:rsidRPr="00D813DE">
        <w:rPr>
          <w:rFonts w:ascii="Ping LCG Regular" w:hAnsi="Ping LCG Regular" w:cstheme="minorHAnsi"/>
          <w:color w:val="000000"/>
          <w:sz w:val="20"/>
          <w:szCs w:val="20"/>
        </w:rPr>
        <w:t>ολογισμοί</w:t>
      </w:r>
      <w:proofErr w:type="spellEnd"/>
      <w:r w:rsidRPr="00D813DE">
        <w:rPr>
          <w:rFonts w:ascii="Ping LCG Regular" w:hAnsi="Ping LCG Regular" w:cstheme="minorHAnsi"/>
          <w:color w:val="000000"/>
          <w:sz w:val="20"/>
          <w:szCs w:val="20"/>
        </w:rPr>
        <w:t xml:space="preserve"> πα</w:t>
      </w:r>
      <w:proofErr w:type="spellStart"/>
      <w:r w:rsidRPr="00D813DE">
        <w:rPr>
          <w:rFonts w:ascii="Ping LCG Regular" w:hAnsi="Ping LCG Regular" w:cstheme="minorHAnsi"/>
          <w:color w:val="000000"/>
          <w:sz w:val="20"/>
          <w:szCs w:val="20"/>
        </w:rPr>
        <w:t>ρουσιάζοντ</w:t>
      </w:r>
      <w:proofErr w:type="spellEnd"/>
      <w:r w:rsidRPr="00D813DE">
        <w:rPr>
          <w:rFonts w:ascii="Ping LCG Regular" w:hAnsi="Ping LCG Regular" w:cstheme="minorHAnsi"/>
          <w:color w:val="000000"/>
          <w:sz w:val="20"/>
          <w:szCs w:val="20"/>
        </w:rPr>
        <w:t xml:space="preserve">αι </w:t>
      </w:r>
      <w:proofErr w:type="spellStart"/>
      <w:r w:rsidRPr="00D813DE">
        <w:rPr>
          <w:rFonts w:ascii="Ping LCG Regular" w:hAnsi="Ping LCG Regular" w:cstheme="minorHAnsi"/>
          <w:color w:val="000000"/>
          <w:sz w:val="20"/>
          <w:szCs w:val="20"/>
        </w:rPr>
        <w:t>στον</w:t>
      </w:r>
      <w:proofErr w:type="spellEnd"/>
      <w:r w:rsidRPr="00D813DE">
        <w:rPr>
          <w:rFonts w:ascii="Ping LCG Regular" w:hAnsi="Ping LCG Regular" w:cstheme="minorHAnsi"/>
          <w:color w:val="000000"/>
          <w:sz w:val="20"/>
          <w:szCs w:val="20"/>
        </w:rPr>
        <w:t xml:space="preserve"> π</w:t>
      </w:r>
      <w:proofErr w:type="spellStart"/>
      <w:r w:rsidRPr="00D813DE">
        <w:rPr>
          <w:rFonts w:ascii="Ping LCG Regular" w:hAnsi="Ping LCG Regular" w:cstheme="minorHAnsi"/>
          <w:color w:val="000000"/>
          <w:sz w:val="20"/>
          <w:szCs w:val="20"/>
        </w:rPr>
        <w:t>ίν</w:t>
      </w:r>
      <w:proofErr w:type="spellEnd"/>
      <w:r w:rsidRPr="00D813DE">
        <w:rPr>
          <w:rFonts w:ascii="Ping LCG Regular" w:hAnsi="Ping LCG Regular" w:cstheme="minorHAnsi"/>
          <w:color w:val="000000"/>
          <w:sz w:val="20"/>
          <w:szCs w:val="20"/>
        </w:rPr>
        <w:t>ακα ΣΤ.</w:t>
      </w:r>
    </w:p>
    <w:p w14:paraId="3A5D610B" w14:textId="77777777" w:rsidR="00F2736A" w:rsidRPr="00930D58" w:rsidRDefault="00F2736A">
      <w:pPr>
        <w:jc w:val="both"/>
        <w:rPr>
          <w:rFonts w:ascii="Ping LCG Regular" w:hAnsi="Ping LCG Regular" w:cs="Calibri Light"/>
          <w:bCs/>
          <w:color w:val="000000"/>
          <w:sz w:val="20"/>
          <w:szCs w:val="20"/>
        </w:rPr>
      </w:pPr>
    </w:p>
    <w:p w14:paraId="35C41FBB" w14:textId="77777777" w:rsidR="00F2736A" w:rsidRPr="00930D58" w:rsidRDefault="00F2736A">
      <w:pPr>
        <w:rPr>
          <w:rFonts w:ascii="Ping LCG Regular" w:hAnsi="Ping LCG Regular" w:cs="Calibri Light"/>
          <w:bCs/>
          <w:color w:val="000000"/>
          <w:sz w:val="20"/>
          <w:szCs w:val="20"/>
          <w:lang w:val="el-GR"/>
        </w:rPr>
      </w:pPr>
      <w:r w:rsidRPr="00930D58">
        <w:rPr>
          <w:rFonts w:ascii="Ping LCG Regular" w:hAnsi="Ping LCG Regular" w:cs="Calibri Light"/>
          <w:bCs/>
          <w:color w:val="000000"/>
          <w:sz w:val="20"/>
          <w:szCs w:val="20"/>
          <w:lang w:val="el-GR"/>
        </w:rPr>
        <w:br w:type="page"/>
      </w:r>
    </w:p>
    <w:p w14:paraId="7A76D9E6" w14:textId="35148657" w:rsidR="00826C45" w:rsidRPr="00930D58" w:rsidRDefault="00BA20D1" w:rsidP="00962C9D">
      <w:pPr>
        <w:rPr>
          <w:rFonts w:ascii="Ping LCG Regular" w:hAnsi="Ping LCG Regular" w:cs="Calibri Light"/>
          <w:b/>
          <w:color w:val="000000"/>
          <w:sz w:val="20"/>
          <w:szCs w:val="20"/>
          <w:lang w:val="el-GR"/>
        </w:rPr>
      </w:pPr>
      <w:r w:rsidRPr="00BA20D1">
        <w:rPr>
          <w:noProof/>
        </w:rPr>
        <w:lastRenderedPageBreak/>
        <w:drawing>
          <wp:inline distT="0" distB="0" distL="0" distR="0" wp14:anchorId="32820E24" wp14:editId="49B130AE">
            <wp:extent cx="5490210" cy="4699635"/>
            <wp:effectExtent l="0" t="0" r="0" b="5715"/>
            <wp:docPr id="1280702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0210" cy="4699635"/>
                    </a:xfrm>
                    <a:prstGeom prst="rect">
                      <a:avLst/>
                    </a:prstGeom>
                    <a:noFill/>
                    <a:ln>
                      <a:noFill/>
                    </a:ln>
                  </pic:spPr>
                </pic:pic>
              </a:graphicData>
            </a:graphic>
          </wp:inline>
        </w:drawing>
      </w:r>
    </w:p>
    <w:p w14:paraId="2B27BD06" w14:textId="77777777" w:rsidR="00727FB9" w:rsidRPr="00930D58" w:rsidRDefault="00727FB9" w:rsidP="00962C9D">
      <w:pPr>
        <w:rPr>
          <w:rFonts w:ascii="Ping LCG Regular" w:hAnsi="Ping LCG Regular" w:cs="Calibri Light"/>
          <w:b/>
          <w:color w:val="000000"/>
          <w:sz w:val="20"/>
          <w:szCs w:val="20"/>
          <w:lang w:val="el-GR"/>
        </w:rPr>
      </w:pPr>
    </w:p>
    <w:p w14:paraId="60D2F584" w14:textId="78F5B51F" w:rsidR="006D22DD" w:rsidRPr="00930D58" w:rsidRDefault="006D22DD" w:rsidP="00962C9D">
      <w:pPr>
        <w:rPr>
          <w:rFonts w:ascii="Ping LCG Regular" w:hAnsi="Ping LCG Regular" w:cs="Calibri Light"/>
          <w:b/>
          <w:color w:val="FFFFFF" w:themeColor="background1"/>
          <w:sz w:val="20"/>
          <w:szCs w:val="20"/>
          <w:lang w:val="el-GR"/>
        </w:rPr>
      </w:pPr>
      <w:r w:rsidRPr="00930D58">
        <w:rPr>
          <w:rFonts w:ascii="Ping LCG Regular" w:hAnsi="Ping LCG Regular" w:cs="Calibri Light"/>
          <w:b/>
          <w:color w:val="FFFFFF" w:themeColor="background1"/>
          <w:sz w:val="20"/>
          <w:szCs w:val="20"/>
          <w:lang w:val="el-GR"/>
        </w:rPr>
        <w:t>Π</w:t>
      </w:r>
      <w:r w:rsidRPr="00930D58">
        <w:rPr>
          <w:rStyle w:val="FootnoteReference"/>
          <w:rFonts w:ascii="Ping LCG Regular" w:hAnsi="Ping LCG Regular" w:cs="Calibri Light"/>
          <w:b/>
          <w:color w:val="FFFFFF" w:themeColor="background1"/>
          <w:sz w:val="20"/>
          <w:szCs w:val="20"/>
          <w:lang w:val="el-GR"/>
        </w:rPr>
        <w:footnoteReference w:id="11"/>
      </w:r>
      <w:r w:rsidRPr="00930D58">
        <w:rPr>
          <w:rFonts w:ascii="Ping LCG Regular" w:hAnsi="Ping LCG Regular" w:cs="Calibri Light"/>
          <w:b/>
          <w:color w:val="FFFFFF" w:themeColor="background1"/>
          <w:sz w:val="20"/>
          <w:szCs w:val="20"/>
          <w:lang w:val="el-GR"/>
        </w:rPr>
        <w:t xml:space="preserve"> </w:t>
      </w:r>
      <w:proofErr w:type="spellStart"/>
      <w:r w:rsidRPr="00930D58">
        <w:rPr>
          <w:rFonts w:ascii="Ping LCG Regular" w:hAnsi="Ping LCG Regular" w:cs="Calibri Light"/>
          <w:b/>
          <w:color w:val="FFFFFF" w:themeColor="background1"/>
          <w:sz w:val="20"/>
          <w:szCs w:val="20"/>
          <w:lang w:val="el-GR"/>
        </w:rPr>
        <w:t>Π</w:t>
      </w:r>
      <w:proofErr w:type="spellEnd"/>
      <w:r w:rsidR="0036328C" w:rsidRPr="00930D58">
        <w:rPr>
          <w:rStyle w:val="FootnoteReference"/>
          <w:rFonts w:ascii="Ping LCG Regular" w:hAnsi="Ping LCG Regular" w:cs="Calibri Light"/>
          <w:b/>
          <w:color w:val="FFFFFF" w:themeColor="background1"/>
          <w:sz w:val="20"/>
          <w:szCs w:val="20"/>
          <w:lang w:val="el-GR"/>
        </w:rPr>
        <w:footnoteReference w:id="12"/>
      </w:r>
    </w:p>
    <w:p w14:paraId="58B7D9C7" w14:textId="759408DD" w:rsidR="00FE21E5" w:rsidRPr="00930D58" w:rsidRDefault="00BA20D1" w:rsidP="00962C9D">
      <w:pPr>
        <w:rPr>
          <w:rFonts w:ascii="Ping LCG Regular" w:hAnsi="Ping LCG Regular" w:cs="Calibri Light"/>
          <w:b/>
          <w:color w:val="000000"/>
          <w:sz w:val="20"/>
          <w:szCs w:val="20"/>
          <w:lang w:val="el-GR"/>
        </w:rPr>
      </w:pPr>
      <w:r w:rsidRPr="00BA20D1">
        <w:rPr>
          <w:noProof/>
        </w:rPr>
        <w:drawing>
          <wp:inline distT="0" distB="0" distL="0" distR="0" wp14:anchorId="1417E181" wp14:editId="170646AE">
            <wp:extent cx="5490210" cy="1997710"/>
            <wp:effectExtent l="0" t="0" r="0" b="2540"/>
            <wp:docPr id="1692991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90210" cy="1997710"/>
                    </a:xfrm>
                    <a:prstGeom prst="rect">
                      <a:avLst/>
                    </a:prstGeom>
                    <a:noFill/>
                    <a:ln>
                      <a:noFill/>
                    </a:ln>
                  </pic:spPr>
                </pic:pic>
              </a:graphicData>
            </a:graphic>
          </wp:inline>
        </w:drawing>
      </w:r>
    </w:p>
    <w:p w14:paraId="68EA11C6" w14:textId="77777777" w:rsidR="00FE21E5" w:rsidRPr="00930D58" w:rsidRDefault="00FE21E5" w:rsidP="00962C9D">
      <w:pPr>
        <w:rPr>
          <w:rFonts w:ascii="Ping LCG Regular" w:hAnsi="Ping LCG Regular" w:cs="Calibri Light"/>
          <w:b/>
          <w:color w:val="000000"/>
          <w:sz w:val="20"/>
          <w:szCs w:val="20"/>
          <w:lang w:val="el-GR"/>
        </w:rPr>
      </w:pPr>
    </w:p>
    <w:p w14:paraId="4F1CBCBD" w14:textId="4C693386" w:rsidR="00FE21E5" w:rsidRPr="00930D58" w:rsidRDefault="00FE21E5" w:rsidP="00962C9D">
      <w:pPr>
        <w:rPr>
          <w:rFonts w:ascii="Ping LCG Regular" w:hAnsi="Ping LCG Regular" w:cs="Calibri Light"/>
          <w:b/>
          <w:color w:val="000000"/>
          <w:sz w:val="20"/>
          <w:szCs w:val="20"/>
          <w:lang w:val="el-GR"/>
        </w:rPr>
      </w:pPr>
    </w:p>
    <w:p w14:paraId="786785C5" w14:textId="77777777" w:rsidR="00FE21E5" w:rsidRPr="00930D58" w:rsidRDefault="00FE21E5" w:rsidP="00962C9D">
      <w:pPr>
        <w:rPr>
          <w:rFonts w:ascii="Ping LCG Regular" w:hAnsi="Ping LCG Regular" w:cs="Calibri Light"/>
          <w:b/>
          <w:color w:val="000000"/>
          <w:sz w:val="20"/>
          <w:szCs w:val="20"/>
          <w:lang w:val="el-GR"/>
        </w:rPr>
      </w:pPr>
    </w:p>
    <w:p w14:paraId="124FCA10" w14:textId="77777777" w:rsidR="0055383C" w:rsidRPr="00930D58" w:rsidRDefault="0055383C" w:rsidP="00962C9D">
      <w:pPr>
        <w:rPr>
          <w:lang w:val="el-GR"/>
        </w:rPr>
      </w:pPr>
    </w:p>
    <w:p w14:paraId="123AB702" w14:textId="77777777" w:rsidR="0055383C" w:rsidRPr="00930D58" w:rsidRDefault="0055383C" w:rsidP="00962C9D">
      <w:pPr>
        <w:rPr>
          <w:lang w:val="el-GR"/>
        </w:rPr>
      </w:pPr>
    </w:p>
    <w:p w14:paraId="65C81D52" w14:textId="77777777" w:rsidR="0055383C" w:rsidRPr="00930D58" w:rsidRDefault="0055383C" w:rsidP="00962C9D">
      <w:pPr>
        <w:rPr>
          <w:lang w:val="el-GR"/>
        </w:rPr>
      </w:pPr>
    </w:p>
    <w:p w14:paraId="190F7F64" w14:textId="77777777" w:rsidR="007C21B9" w:rsidRPr="00930D58" w:rsidRDefault="007C21B9" w:rsidP="007C21B9">
      <w:pPr>
        <w:rPr>
          <w:rFonts w:ascii="Ping LCG Regular" w:hAnsi="Ping LCG Regular" w:cs="Calibri Light"/>
          <w:b/>
          <w:color w:val="FFFFFF" w:themeColor="background1"/>
          <w:sz w:val="20"/>
          <w:szCs w:val="20"/>
          <w:lang w:val="el-GR"/>
        </w:rPr>
      </w:pPr>
      <w:r w:rsidRPr="00930D58">
        <w:rPr>
          <w:rFonts w:ascii="Ping LCG Regular" w:hAnsi="Ping LCG Regular" w:cs="Calibri Light"/>
          <w:b/>
          <w:color w:val="FFFFFF" w:themeColor="background1"/>
          <w:sz w:val="20"/>
          <w:szCs w:val="20"/>
          <w:lang w:val="el-GR"/>
        </w:rPr>
        <w:lastRenderedPageBreak/>
        <w:t>Π</w:t>
      </w:r>
      <w:r w:rsidRPr="00930D58">
        <w:rPr>
          <w:rStyle w:val="FootnoteReference"/>
          <w:rFonts w:ascii="Ping LCG Regular" w:hAnsi="Ping LCG Regular" w:cs="Calibri Light"/>
          <w:b/>
          <w:color w:val="FFFFFF" w:themeColor="background1"/>
          <w:sz w:val="20"/>
          <w:szCs w:val="20"/>
          <w:lang w:val="el-GR"/>
        </w:rPr>
        <w:footnoteReference w:id="13"/>
      </w:r>
      <w:r w:rsidRPr="00930D58">
        <w:rPr>
          <w:rFonts w:ascii="Ping LCG Regular" w:hAnsi="Ping LCG Regular" w:cs="Calibri Light"/>
          <w:b/>
          <w:color w:val="FFFFFF" w:themeColor="background1"/>
          <w:sz w:val="20"/>
          <w:szCs w:val="20"/>
          <w:lang w:val="el-GR"/>
        </w:rPr>
        <w:t xml:space="preserve"> </w:t>
      </w:r>
      <w:proofErr w:type="spellStart"/>
      <w:r w:rsidRPr="00930D58">
        <w:rPr>
          <w:rFonts w:ascii="Ping LCG Regular" w:hAnsi="Ping LCG Regular" w:cs="Calibri Light"/>
          <w:b/>
          <w:color w:val="FFFFFF" w:themeColor="background1"/>
          <w:sz w:val="20"/>
          <w:szCs w:val="20"/>
          <w:lang w:val="el-GR"/>
        </w:rPr>
        <w:t>Π</w:t>
      </w:r>
      <w:proofErr w:type="spellEnd"/>
      <w:r w:rsidRPr="00930D58">
        <w:rPr>
          <w:rStyle w:val="FootnoteReference"/>
          <w:rFonts w:ascii="Ping LCG Regular" w:hAnsi="Ping LCG Regular" w:cs="Calibri Light"/>
          <w:b/>
          <w:color w:val="FFFFFF" w:themeColor="background1"/>
          <w:sz w:val="20"/>
          <w:szCs w:val="20"/>
          <w:lang w:val="el-GR"/>
        </w:rPr>
        <w:footnoteReference w:id="14"/>
      </w:r>
    </w:p>
    <w:p w14:paraId="5B316D33" w14:textId="250E9E22" w:rsidR="00FE21E5" w:rsidRPr="00930D58" w:rsidRDefault="00F16DB6" w:rsidP="00962C9D">
      <w:pPr>
        <w:rPr>
          <w:rFonts w:ascii="Ping LCG Regular" w:hAnsi="Ping LCG Regular" w:cs="Calibri Light"/>
          <w:b/>
          <w:color w:val="000000"/>
          <w:sz w:val="20"/>
          <w:szCs w:val="20"/>
          <w:lang w:val="el-GR"/>
        </w:rPr>
      </w:pPr>
      <w:r w:rsidRPr="00F16DB6">
        <w:rPr>
          <w:noProof/>
        </w:rPr>
        <w:drawing>
          <wp:inline distT="0" distB="0" distL="0" distR="0" wp14:anchorId="67C85FF9" wp14:editId="049E3A69">
            <wp:extent cx="5490210" cy="1960245"/>
            <wp:effectExtent l="0" t="0" r="0" b="1905"/>
            <wp:docPr id="12627133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0210" cy="1960245"/>
                    </a:xfrm>
                    <a:prstGeom prst="rect">
                      <a:avLst/>
                    </a:prstGeom>
                    <a:noFill/>
                    <a:ln>
                      <a:noFill/>
                    </a:ln>
                  </pic:spPr>
                </pic:pic>
              </a:graphicData>
            </a:graphic>
          </wp:inline>
        </w:drawing>
      </w:r>
    </w:p>
    <w:p w14:paraId="08F0D81D" w14:textId="77777777" w:rsidR="00A93FC5" w:rsidRDefault="00A93FC5" w:rsidP="00962C9D">
      <w:pPr>
        <w:rPr>
          <w:rFonts w:ascii="Ping LCG Regular" w:hAnsi="Ping LCG Regular" w:cs="Calibri Light"/>
          <w:b/>
          <w:color w:val="000000"/>
          <w:sz w:val="20"/>
          <w:szCs w:val="20"/>
        </w:rPr>
      </w:pPr>
    </w:p>
    <w:p w14:paraId="1942D95B" w14:textId="77777777" w:rsidR="00B4097C" w:rsidRPr="00B4097C" w:rsidRDefault="00B4097C" w:rsidP="00962C9D">
      <w:pPr>
        <w:rPr>
          <w:rFonts w:ascii="Ping LCG Regular" w:hAnsi="Ping LCG Regular" w:cs="Calibri Light"/>
          <w:b/>
          <w:color w:val="000000"/>
          <w:sz w:val="20"/>
          <w:szCs w:val="20"/>
        </w:rPr>
      </w:pPr>
    </w:p>
    <w:p w14:paraId="0B87C291" w14:textId="4DEA7BF1" w:rsidR="00EC4483" w:rsidRPr="00930D58" w:rsidRDefault="00F16DB6" w:rsidP="00962C9D">
      <w:pPr>
        <w:rPr>
          <w:rFonts w:ascii="Ping LCG Regular" w:hAnsi="Ping LCG Regular" w:cs="Calibri Light"/>
          <w:b/>
          <w:color w:val="000000"/>
          <w:sz w:val="20"/>
          <w:szCs w:val="20"/>
          <w:lang w:val="el-GR"/>
        </w:rPr>
      </w:pPr>
      <w:r w:rsidRPr="00F16DB6">
        <w:rPr>
          <w:noProof/>
        </w:rPr>
        <w:drawing>
          <wp:inline distT="0" distB="0" distL="0" distR="0" wp14:anchorId="3C2C3347" wp14:editId="2D4E70A7">
            <wp:extent cx="5490210" cy="3302635"/>
            <wp:effectExtent l="0" t="0" r="0" b="0"/>
            <wp:docPr id="693444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0210" cy="3302635"/>
                    </a:xfrm>
                    <a:prstGeom prst="rect">
                      <a:avLst/>
                    </a:prstGeom>
                    <a:noFill/>
                    <a:ln>
                      <a:noFill/>
                    </a:ln>
                  </pic:spPr>
                </pic:pic>
              </a:graphicData>
            </a:graphic>
          </wp:inline>
        </w:drawing>
      </w:r>
    </w:p>
    <w:p w14:paraId="32C2E171" w14:textId="77777777" w:rsidR="00EC4483" w:rsidRPr="00930D58" w:rsidRDefault="00EC4483" w:rsidP="00962C9D">
      <w:pPr>
        <w:rPr>
          <w:rFonts w:ascii="Ping LCG Regular" w:hAnsi="Ping LCG Regular" w:cs="Calibri Light"/>
          <w:b/>
          <w:color w:val="000000"/>
          <w:sz w:val="20"/>
          <w:szCs w:val="20"/>
          <w:lang w:val="el-GR"/>
        </w:rPr>
      </w:pPr>
    </w:p>
    <w:p w14:paraId="61DE9BD9" w14:textId="77777777" w:rsidR="00FB309A" w:rsidRPr="00930D58" w:rsidRDefault="00FB309A" w:rsidP="00962C9D">
      <w:pPr>
        <w:rPr>
          <w:lang w:val="el-GR"/>
        </w:rPr>
      </w:pPr>
    </w:p>
    <w:p w14:paraId="47FDDF76" w14:textId="77777777" w:rsidR="00FB309A" w:rsidRPr="00930D58" w:rsidRDefault="00FB309A" w:rsidP="00962C9D">
      <w:pPr>
        <w:rPr>
          <w:lang w:val="el-GR"/>
        </w:rPr>
      </w:pPr>
    </w:p>
    <w:p w14:paraId="241265F2" w14:textId="77777777" w:rsidR="00FB309A" w:rsidRPr="00930D58" w:rsidRDefault="00FB309A" w:rsidP="00962C9D">
      <w:pPr>
        <w:rPr>
          <w:lang w:val="el-GR"/>
        </w:rPr>
      </w:pPr>
    </w:p>
    <w:p w14:paraId="5D31E851" w14:textId="77777777" w:rsidR="00FB309A" w:rsidRPr="00930D58" w:rsidRDefault="00FB309A" w:rsidP="00962C9D">
      <w:pPr>
        <w:rPr>
          <w:lang w:val="el-GR"/>
        </w:rPr>
      </w:pPr>
    </w:p>
    <w:p w14:paraId="34CD9527" w14:textId="77777777" w:rsidR="00FB309A" w:rsidRPr="00930D58" w:rsidRDefault="00FB309A" w:rsidP="00962C9D">
      <w:pPr>
        <w:rPr>
          <w:lang w:val="el-GR"/>
        </w:rPr>
      </w:pPr>
    </w:p>
    <w:p w14:paraId="5B343F60" w14:textId="77777777" w:rsidR="00FB309A" w:rsidRPr="00930D58" w:rsidRDefault="00FB309A" w:rsidP="00962C9D">
      <w:pPr>
        <w:rPr>
          <w:lang w:val="el-GR"/>
        </w:rPr>
      </w:pPr>
    </w:p>
    <w:p w14:paraId="72A9292E" w14:textId="77777777" w:rsidR="00FB309A" w:rsidRPr="00930D58" w:rsidRDefault="00FB309A" w:rsidP="00962C9D">
      <w:pPr>
        <w:rPr>
          <w:lang w:val="el-GR"/>
        </w:rPr>
      </w:pPr>
    </w:p>
    <w:p w14:paraId="0D4A7308" w14:textId="77777777" w:rsidR="00FB309A" w:rsidRPr="00930D58" w:rsidRDefault="00FB309A" w:rsidP="00962C9D">
      <w:pPr>
        <w:rPr>
          <w:lang w:val="el-GR"/>
        </w:rPr>
      </w:pPr>
    </w:p>
    <w:p w14:paraId="0A924968" w14:textId="77777777" w:rsidR="00FB309A" w:rsidRPr="00930D58" w:rsidRDefault="00FB309A" w:rsidP="00962C9D">
      <w:pPr>
        <w:rPr>
          <w:lang w:val="el-GR"/>
        </w:rPr>
      </w:pPr>
    </w:p>
    <w:p w14:paraId="51923660" w14:textId="77777777" w:rsidR="00FB309A" w:rsidRPr="00930D58" w:rsidRDefault="00FB309A" w:rsidP="00962C9D">
      <w:pPr>
        <w:rPr>
          <w:lang w:val="el-GR"/>
        </w:rPr>
      </w:pPr>
    </w:p>
    <w:p w14:paraId="4177A4F6" w14:textId="7FBC9FEE" w:rsidR="00EC4483" w:rsidRPr="00930D58" w:rsidRDefault="000A0136" w:rsidP="00962C9D">
      <w:pPr>
        <w:rPr>
          <w:rFonts w:ascii="Ping LCG Regular" w:hAnsi="Ping LCG Regular" w:cs="Calibri Light"/>
          <w:b/>
          <w:color w:val="000000"/>
          <w:sz w:val="20"/>
          <w:szCs w:val="20"/>
          <w:lang w:val="el-GR"/>
        </w:rPr>
      </w:pPr>
      <w:r w:rsidRPr="000A0136">
        <w:rPr>
          <w:rFonts w:ascii="Ping LCG Regular" w:hAnsi="Ping LCG Regular" w:cs="Calibri Light"/>
          <w:b/>
          <w:color w:val="000000"/>
          <w:sz w:val="20"/>
          <w:szCs w:val="20"/>
          <w:lang w:val="el-GR"/>
        </w:rPr>
        <w:lastRenderedPageBreak/>
        <w:t xml:space="preserve"> </w:t>
      </w:r>
      <w:r w:rsidRPr="000A0136">
        <w:rPr>
          <w:noProof/>
        </w:rPr>
        <w:drawing>
          <wp:inline distT="0" distB="0" distL="0" distR="0" wp14:anchorId="0CCF4F56" wp14:editId="0EFF60F7">
            <wp:extent cx="5490210" cy="2542540"/>
            <wp:effectExtent l="0" t="0" r="0" b="0"/>
            <wp:docPr id="96120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0210" cy="2542540"/>
                    </a:xfrm>
                    <a:prstGeom prst="rect">
                      <a:avLst/>
                    </a:prstGeom>
                    <a:noFill/>
                    <a:ln>
                      <a:noFill/>
                    </a:ln>
                  </pic:spPr>
                </pic:pic>
              </a:graphicData>
            </a:graphic>
          </wp:inline>
        </w:drawing>
      </w:r>
    </w:p>
    <w:p w14:paraId="174E4FF6" w14:textId="77777777" w:rsidR="005628F3" w:rsidRPr="00930D58" w:rsidRDefault="005628F3" w:rsidP="005628F3">
      <w:pPr>
        <w:rPr>
          <w:rFonts w:ascii="Ping LCG Regular" w:hAnsi="Ping LCG Regular" w:cs="Calibri Light"/>
          <w:b/>
          <w:color w:val="FFFFFF" w:themeColor="background1"/>
          <w:sz w:val="20"/>
          <w:szCs w:val="20"/>
          <w:lang w:val="el-GR"/>
        </w:rPr>
      </w:pPr>
      <w:r w:rsidRPr="00930D58">
        <w:rPr>
          <w:rFonts w:ascii="Ping LCG Regular" w:hAnsi="Ping LCG Regular" w:cs="Calibri Light"/>
          <w:b/>
          <w:color w:val="FFFFFF" w:themeColor="background1"/>
          <w:sz w:val="20"/>
          <w:szCs w:val="20"/>
          <w:lang w:val="el-GR"/>
        </w:rPr>
        <w:t>Π</w:t>
      </w:r>
      <w:r w:rsidRPr="00930D58">
        <w:rPr>
          <w:rStyle w:val="FootnoteReference"/>
          <w:rFonts w:ascii="Ping LCG Regular" w:hAnsi="Ping LCG Regular" w:cs="Calibri Light"/>
          <w:b/>
          <w:color w:val="FFFFFF" w:themeColor="background1"/>
          <w:sz w:val="20"/>
          <w:szCs w:val="20"/>
          <w:lang w:val="el-GR"/>
        </w:rPr>
        <w:footnoteReference w:id="15"/>
      </w:r>
      <w:r w:rsidRPr="00930D58">
        <w:rPr>
          <w:rFonts w:ascii="Ping LCG Regular" w:hAnsi="Ping LCG Regular" w:cs="Calibri Light"/>
          <w:b/>
          <w:color w:val="FFFFFF" w:themeColor="background1"/>
          <w:sz w:val="20"/>
          <w:szCs w:val="20"/>
          <w:lang w:val="el-GR"/>
        </w:rPr>
        <w:t xml:space="preserve"> </w:t>
      </w:r>
      <w:proofErr w:type="spellStart"/>
      <w:r w:rsidRPr="00930D58">
        <w:rPr>
          <w:rFonts w:ascii="Ping LCG Regular" w:hAnsi="Ping LCG Regular" w:cs="Calibri Light"/>
          <w:b/>
          <w:color w:val="FFFFFF" w:themeColor="background1"/>
          <w:sz w:val="20"/>
          <w:szCs w:val="20"/>
          <w:lang w:val="el-GR"/>
        </w:rPr>
        <w:t>Π</w:t>
      </w:r>
      <w:proofErr w:type="spellEnd"/>
      <w:r w:rsidRPr="00930D58">
        <w:rPr>
          <w:rStyle w:val="FootnoteReference"/>
          <w:rFonts w:ascii="Ping LCG Regular" w:hAnsi="Ping LCG Regular" w:cs="Calibri Light"/>
          <w:b/>
          <w:color w:val="FFFFFF" w:themeColor="background1"/>
          <w:sz w:val="20"/>
          <w:szCs w:val="20"/>
          <w:lang w:val="el-GR"/>
        </w:rPr>
        <w:footnoteReference w:id="16"/>
      </w:r>
    </w:p>
    <w:p w14:paraId="19F7DEF9" w14:textId="77777777" w:rsidR="00D239B1" w:rsidRDefault="00D239B1" w:rsidP="00962C9D">
      <w:pPr>
        <w:rPr>
          <w:rFonts w:ascii="Ping LCG Regular" w:hAnsi="Ping LCG Regular" w:cs="Calibri Light"/>
          <w:b/>
          <w:color w:val="000000"/>
          <w:sz w:val="20"/>
          <w:szCs w:val="20"/>
        </w:rPr>
      </w:pPr>
    </w:p>
    <w:p w14:paraId="57ECE25A" w14:textId="77777777" w:rsidR="00BD6881" w:rsidRPr="00BD6881" w:rsidRDefault="00BD6881" w:rsidP="00962C9D">
      <w:pPr>
        <w:rPr>
          <w:rFonts w:ascii="Ping LCG Regular" w:hAnsi="Ping LCG Regular" w:cs="Calibri Light"/>
          <w:b/>
          <w:color w:val="000000"/>
          <w:sz w:val="20"/>
          <w:szCs w:val="20"/>
        </w:rPr>
      </w:pPr>
    </w:p>
    <w:p w14:paraId="41D88AD2" w14:textId="7065EAE8" w:rsidR="00854B79" w:rsidRDefault="00327D5F" w:rsidP="00962C9D">
      <w:pPr>
        <w:rPr>
          <w:rFonts w:ascii="Ping LCG Regular" w:hAnsi="Ping LCG Regular" w:cs="Calibri Light"/>
          <w:color w:val="000000"/>
          <w:sz w:val="20"/>
          <w:szCs w:val="20"/>
          <w:lang w:val="el-GR"/>
        </w:rPr>
      </w:pPr>
      <w:r w:rsidRPr="00327D5F">
        <w:rPr>
          <w:noProof/>
        </w:rPr>
        <w:drawing>
          <wp:inline distT="0" distB="0" distL="0" distR="0" wp14:anchorId="756A8B86" wp14:editId="47156DA1">
            <wp:extent cx="5490210" cy="2353310"/>
            <wp:effectExtent l="0" t="0" r="0" b="8890"/>
            <wp:docPr id="15027219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0210" cy="2353310"/>
                    </a:xfrm>
                    <a:prstGeom prst="rect">
                      <a:avLst/>
                    </a:prstGeom>
                    <a:noFill/>
                    <a:ln>
                      <a:noFill/>
                    </a:ln>
                  </pic:spPr>
                </pic:pic>
              </a:graphicData>
            </a:graphic>
          </wp:inline>
        </w:drawing>
      </w:r>
    </w:p>
    <w:sectPr w:rsidR="00854B79" w:rsidSect="00B50C9B">
      <w:headerReference w:type="even" r:id="rId23"/>
      <w:headerReference w:type="default" r:id="rId24"/>
      <w:footerReference w:type="even" r:id="rId25"/>
      <w:footerReference w:type="default" r:id="rId26"/>
      <w:headerReference w:type="first" r:id="rId27"/>
      <w:footerReference w:type="first" r:id="rId28"/>
      <w:pgSz w:w="11900" w:h="16840"/>
      <w:pgMar w:top="1702" w:right="1694" w:bottom="284" w:left="1560" w:header="0"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85EB" w14:textId="77777777" w:rsidR="00094AA8" w:rsidRDefault="00094AA8" w:rsidP="0054172F">
      <w:r>
        <w:separator/>
      </w:r>
    </w:p>
  </w:endnote>
  <w:endnote w:type="continuationSeparator" w:id="0">
    <w:p w14:paraId="113B3595" w14:textId="77777777" w:rsidR="00094AA8" w:rsidRDefault="00094AA8" w:rsidP="0054172F">
      <w:r>
        <w:continuationSeparator/>
      </w:r>
    </w:p>
  </w:endnote>
  <w:endnote w:type="continuationNotice" w:id="1">
    <w:p w14:paraId="75FA8C25" w14:textId="77777777" w:rsidR="00094AA8" w:rsidRDefault="0009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ing LCG Regular">
    <w:altName w:val="Calibri"/>
    <w:panose1 w:val="00000000000000000000"/>
    <w:charset w:val="00"/>
    <w:family w:val="modern"/>
    <w:notTrueType/>
    <w:pitch w:val="variable"/>
    <w:sig w:usb0="E00002FF" w:usb1="5001E47B" w:usb2="0000000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5490327"/>
      <w:docPartObj>
        <w:docPartGallery w:val="Page Numbers (Bottom of Page)"/>
        <w:docPartUnique/>
      </w:docPartObj>
    </w:sdtPr>
    <w:sdtContent>
      <w:p w14:paraId="634B7564" w14:textId="1081F108" w:rsidR="00277187" w:rsidRDefault="00277187" w:rsidP="00C300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8097A" w14:textId="77777777" w:rsidR="00277187" w:rsidRDefault="00277187" w:rsidP="0027718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ing LCG Regular" w:hAnsi="Ping LCG Regular"/>
        <w:sz w:val="16"/>
        <w:szCs w:val="16"/>
      </w:rPr>
      <w:id w:val="-472456482"/>
      <w:docPartObj>
        <w:docPartGallery w:val="Page Numbers (Bottom of Page)"/>
        <w:docPartUnique/>
      </w:docPartObj>
    </w:sdtPr>
    <w:sdtEndPr>
      <w:rPr>
        <w:rStyle w:val="PageNumber"/>
        <w:color w:val="FFFFFF" w:themeColor="background1"/>
      </w:rPr>
    </w:sdtEndPr>
    <w:sdtContent>
      <w:p w14:paraId="44C738F4" w14:textId="7C5B8C9F" w:rsidR="00277187" w:rsidRPr="0028254A" w:rsidRDefault="00277187" w:rsidP="00F5169D">
        <w:pPr>
          <w:pStyle w:val="Footer"/>
          <w:framePr w:w="561" w:wrap="notBeside" w:vAnchor="page" w:hAnchor="page" w:x="10601" w:y="16267"/>
          <w:jc w:val="right"/>
          <w:rPr>
            <w:rStyle w:val="PageNumber"/>
            <w:rFonts w:ascii="Ping LCG Regular" w:hAnsi="Ping LCG Regular"/>
            <w:color w:val="FFFFFF" w:themeColor="background1"/>
            <w:sz w:val="16"/>
            <w:szCs w:val="16"/>
          </w:rPr>
        </w:pPr>
        <w:r w:rsidRPr="0028254A">
          <w:rPr>
            <w:rStyle w:val="PageNumber"/>
            <w:rFonts w:ascii="Ping LCG Regular" w:hAnsi="Ping LCG Regular"/>
            <w:color w:val="FFFFFF" w:themeColor="background1"/>
            <w:sz w:val="16"/>
            <w:szCs w:val="16"/>
          </w:rPr>
          <w:fldChar w:fldCharType="begin"/>
        </w:r>
        <w:r w:rsidRPr="0028254A">
          <w:rPr>
            <w:rStyle w:val="PageNumber"/>
            <w:rFonts w:ascii="Ping LCG Regular" w:hAnsi="Ping LCG Regular"/>
            <w:color w:val="FFFFFF" w:themeColor="background1"/>
            <w:sz w:val="16"/>
            <w:szCs w:val="16"/>
          </w:rPr>
          <w:instrText xml:space="preserve"> PAGE </w:instrText>
        </w:r>
        <w:r w:rsidRPr="0028254A">
          <w:rPr>
            <w:rStyle w:val="PageNumber"/>
            <w:rFonts w:ascii="Ping LCG Regular" w:hAnsi="Ping LCG Regular"/>
            <w:color w:val="FFFFFF" w:themeColor="background1"/>
            <w:sz w:val="16"/>
            <w:szCs w:val="16"/>
          </w:rPr>
          <w:fldChar w:fldCharType="separate"/>
        </w:r>
        <w:r w:rsidRPr="0028254A">
          <w:rPr>
            <w:rStyle w:val="PageNumber"/>
            <w:rFonts w:ascii="Ping LCG Regular" w:hAnsi="Ping LCG Regular"/>
            <w:noProof/>
            <w:color w:val="FFFFFF" w:themeColor="background1"/>
            <w:sz w:val="16"/>
            <w:szCs w:val="16"/>
          </w:rPr>
          <w:t>2</w:t>
        </w:r>
        <w:r w:rsidRPr="0028254A">
          <w:rPr>
            <w:rStyle w:val="PageNumber"/>
            <w:rFonts w:ascii="Ping LCG Regular" w:hAnsi="Ping LCG Regular"/>
            <w:color w:val="FFFFFF" w:themeColor="background1"/>
            <w:sz w:val="16"/>
            <w:szCs w:val="16"/>
          </w:rPr>
          <w:fldChar w:fldCharType="end"/>
        </w:r>
      </w:p>
    </w:sdtContent>
  </w:sdt>
  <w:p w14:paraId="4A55A45F" w14:textId="6A21738A" w:rsidR="00351929" w:rsidRPr="00F95A9D" w:rsidRDefault="001E71D4" w:rsidP="00C30099">
    <w:pPr>
      <w:pStyle w:val="Footer"/>
      <w:ind w:firstLine="360"/>
      <w:rPr>
        <w:lang w:val="el-GR"/>
      </w:rPr>
    </w:pPr>
    <w:r>
      <w:rPr>
        <w:noProof/>
      </w:rPr>
      <w:drawing>
        <wp:anchor distT="0" distB="0" distL="114300" distR="114300" simplePos="0" relativeHeight="251657728" behindDoc="1" locked="0" layoutInCell="1" allowOverlap="1" wp14:anchorId="205A56FE" wp14:editId="67215068">
          <wp:simplePos x="0" y="0"/>
          <wp:positionH relativeFrom="page">
            <wp:posOffset>423</wp:posOffset>
          </wp:positionH>
          <wp:positionV relativeFrom="paragraph">
            <wp:posOffset>95250</wp:posOffset>
          </wp:positionV>
          <wp:extent cx="7558193" cy="1248886"/>
          <wp:effectExtent l="0" t="0" r="5080" b="8890"/>
          <wp:wrapNone/>
          <wp:docPr id="861819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19696"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7558193" cy="124888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0C8E" w14:textId="21DC9BDB" w:rsidR="001B100F" w:rsidRDefault="001E71D4" w:rsidP="00277187">
    <w:pPr>
      <w:pStyle w:val="Footer"/>
      <w:ind w:firstLine="360"/>
    </w:pPr>
    <w:r>
      <w:rPr>
        <w:noProof/>
      </w:rPr>
      <w:drawing>
        <wp:anchor distT="0" distB="0" distL="114300" distR="114300" simplePos="0" relativeHeight="251656704" behindDoc="0" locked="0" layoutInCell="1" allowOverlap="1" wp14:anchorId="2AAF2835" wp14:editId="1434423C">
          <wp:simplePos x="0" y="0"/>
          <wp:positionH relativeFrom="page">
            <wp:align>left</wp:align>
          </wp:positionH>
          <wp:positionV relativeFrom="paragraph">
            <wp:posOffset>89535</wp:posOffset>
          </wp:positionV>
          <wp:extent cx="7840579" cy="1290861"/>
          <wp:effectExtent l="0" t="0" r="0" b="5080"/>
          <wp:wrapNone/>
          <wp:docPr id="19959201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201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40579" cy="129086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7300" w14:textId="77777777" w:rsidR="00094AA8" w:rsidRDefault="00094AA8" w:rsidP="0054172F">
      <w:r>
        <w:separator/>
      </w:r>
    </w:p>
  </w:footnote>
  <w:footnote w:type="continuationSeparator" w:id="0">
    <w:p w14:paraId="048AAC5E" w14:textId="77777777" w:rsidR="00094AA8" w:rsidRDefault="00094AA8" w:rsidP="0054172F">
      <w:r>
        <w:continuationSeparator/>
      </w:r>
    </w:p>
  </w:footnote>
  <w:footnote w:type="continuationNotice" w:id="1">
    <w:p w14:paraId="345C13BF" w14:textId="77777777" w:rsidR="00094AA8" w:rsidRDefault="00094AA8"/>
  </w:footnote>
  <w:footnote w:id="2">
    <w:p w14:paraId="6E05C23F" w14:textId="2FC67BB6" w:rsidR="00F55B7C" w:rsidRPr="000E7238" w:rsidRDefault="00F55B7C" w:rsidP="00F55B7C">
      <w:pPr>
        <w:pStyle w:val="FootnoteText"/>
        <w:rPr>
          <w:lang w:val="el-GR"/>
        </w:rPr>
      </w:pPr>
      <w:r w:rsidRPr="006F72BA">
        <w:rPr>
          <w:rStyle w:val="FootnoteReference"/>
          <w:sz w:val="16"/>
          <w:szCs w:val="16"/>
        </w:rPr>
        <w:footnoteRef/>
      </w:r>
      <w:r w:rsidRPr="006F72BA">
        <w:rPr>
          <w:sz w:val="16"/>
          <w:szCs w:val="16"/>
          <w:lang w:val="el-GR"/>
        </w:rPr>
        <w:t xml:space="preserve"> </w:t>
      </w:r>
      <w:r w:rsidR="009E7B3F">
        <w:rPr>
          <w:sz w:val="16"/>
          <w:szCs w:val="16"/>
          <w:lang w:val="el-GR"/>
        </w:rPr>
        <w:t xml:space="preserve">Ανάλυση των μεγεθών παρέχεται στους </w:t>
      </w:r>
      <w:r w:rsidR="0019373F">
        <w:rPr>
          <w:sz w:val="16"/>
          <w:szCs w:val="16"/>
          <w:lang w:val="el-GR"/>
        </w:rPr>
        <w:t>Εναλλακτικούς</w:t>
      </w:r>
      <w:r w:rsidR="009E7B3F">
        <w:rPr>
          <w:sz w:val="16"/>
          <w:szCs w:val="16"/>
          <w:lang w:val="el-GR"/>
        </w:rPr>
        <w:t xml:space="preserve"> Δείκτες </w:t>
      </w:r>
      <w:r w:rsidR="001170DE">
        <w:rPr>
          <w:sz w:val="16"/>
          <w:szCs w:val="16"/>
          <w:lang w:val="el-GR"/>
        </w:rPr>
        <w:t>Μέτρησης</w:t>
      </w:r>
      <w:r w:rsidR="002419CD">
        <w:rPr>
          <w:sz w:val="16"/>
          <w:szCs w:val="16"/>
          <w:lang w:val="el-GR"/>
        </w:rPr>
        <w:t xml:space="preserve"> και Απόδοσης στο Παράρτημ</w:t>
      </w:r>
      <w:r w:rsidR="0019373F">
        <w:rPr>
          <w:sz w:val="16"/>
          <w:szCs w:val="16"/>
          <w:lang w:val="el-GR"/>
        </w:rPr>
        <w:t>α</w:t>
      </w:r>
      <w:r w:rsidR="002419CD">
        <w:rPr>
          <w:sz w:val="16"/>
          <w:szCs w:val="16"/>
          <w:lang w:val="el-GR"/>
        </w:rPr>
        <w:t xml:space="preserve"> ΙΙ. </w:t>
      </w:r>
    </w:p>
  </w:footnote>
  <w:footnote w:id="3">
    <w:p w14:paraId="45195AD7" w14:textId="77777777" w:rsidR="00583040" w:rsidRPr="00983E94" w:rsidRDefault="00583040" w:rsidP="00583040">
      <w:pPr>
        <w:pStyle w:val="FootnoteText"/>
        <w:rPr>
          <w:sz w:val="16"/>
          <w:szCs w:val="16"/>
          <w:lang w:val="el-GR"/>
        </w:rPr>
      </w:pPr>
      <w:r w:rsidRPr="009B59AF">
        <w:rPr>
          <w:rStyle w:val="FootnoteReference"/>
        </w:rPr>
        <w:footnoteRef/>
      </w:r>
      <w:r w:rsidRPr="009B59AF">
        <w:rPr>
          <w:lang w:val="el-GR"/>
        </w:rPr>
        <w:t xml:space="preserve"> </w:t>
      </w:r>
      <w:r w:rsidRPr="009B59AF">
        <w:rPr>
          <w:sz w:val="16"/>
          <w:szCs w:val="16"/>
          <w:lang w:val="el-GR"/>
        </w:rPr>
        <w:t>Ανάλυση των μεγεθών παρέχεται στους Εναλλακτικούς Δείκτες Μέτρησης και Απόδοσης στο Παράρτημα ΙΙ.</w:t>
      </w:r>
      <w:r w:rsidRPr="006F72BA">
        <w:rPr>
          <w:sz w:val="16"/>
          <w:szCs w:val="16"/>
          <w:lang w:val="el-GR"/>
        </w:rPr>
        <w:t xml:space="preserve"> </w:t>
      </w:r>
    </w:p>
  </w:footnote>
  <w:footnote w:id="4">
    <w:p w14:paraId="47ACA0E4" w14:textId="77777777" w:rsidR="00583040" w:rsidRPr="00D80E92" w:rsidRDefault="00583040" w:rsidP="00583040">
      <w:pPr>
        <w:pStyle w:val="FootnoteText"/>
        <w:rPr>
          <w:sz w:val="16"/>
          <w:szCs w:val="16"/>
          <w:lang w:val="el-GR"/>
        </w:rPr>
      </w:pPr>
      <w:r w:rsidRPr="00D80E92">
        <w:rPr>
          <w:rStyle w:val="FootnoteReference"/>
        </w:rPr>
        <w:footnoteRef/>
      </w:r>
      <w:r w:rsidRPr="00D80E92">
        <w:rPr>
          <w:rStyle w:val="FootnoteReference"/>
          <w:lang w:val="el-GR"/>
        </w:rPr>
        <w:t xml:space="preserve"> </w:t>
      </w:r>
      <w:r w:rsidRPr="00D80E92">
        <w:rPr>
          <w:sz w:val="16"/>
          <w:szCs w:val="16"/>
          <w:lang w:val="el-GR"/>
        </w:rPr>
        <w:t>Με βάση τις εκτιμήσεις της ΔΕΗ</w:t>
      </w:r>
    </w:p>
  </w:footnote>
  <w:footnote w:id="5">
    <w:p w14:paraId="749FAEBE" w14:textId="77777777" w:rsidR="00625535" w:rsidRPr="00D80E92" w:rsidRDefault="00625535" w:rsidP="00625535">
      <w:pPr>
        <w:pStyle w:val="FootnoteText"/>
        <w:rPr>
          <w:sz w:val="16"/>
          <w:szCs w:val="16"/>
          <w:lang w:val="el-GR"/>
        </w:rPr>
      </w:pPr>
      <w:r w:rsidRPr="00D80E92">
        <w:rPr>
          <w:rStyle w:val="FootnoteReference"/>
        </w:rPr>
        <w:footnoteRef/>
      </w:r>
      <w:r w:rsidRPr="00D80E92">
        <w:rPr>
          <w:rStyle w:val="FootnoteReference"/>
          <w:lang w:val="el-GR"/>
        </w:rPr>
        <w:t xml:space="preserve"> </w:t>
      </w:r>
      <w:r w:rsidRPr="00D80E92">
        <w:rPr>
          <w:sz w:val="16"/>
          <w:szCs w:val="16"/>
          <w:lang w:val="el-GR"/>
        </w:rPr>
        <w:t xml:space="preserve">Με βάση τα στοιχεία της </w:t>
      </w:r>
      <w:proofErr w:type="spellStart"/>
      <w:r w:rsidRPr="00D80E92">
        <w:rPr>
          <w:sz w:val="16"/>
          <w:szCs w:val="16"/>
          <w:lang w:val="el-GR"/>
        </w:rPr>
        <w:t>Transelectrica</w:t>
      </w:r>
      <w:proofErr w:type="spellEnd"/>
      <w:r w:rsidRPr="00D80E92">
        <w:rPr>
          <w:sz w:val="16"/>
          <w:szCs w:val="16"/>
          <w:lang w:val="el-GR"/>
        </w:rPr>
        <w:t xml:space="preserve">  </w:t>
      </w:r>
    </w:p>
  </w:footnote>
  <w:footnote w:id="6">
    <w:p w14:paraId="0DA7CF5E" w14:textId="77777777" w:rsidR="00583040" w:rsidRPr="00D80E92" w:rsidRDefault="00583040" w:rsidP="00583040">
      <w:pPr>
        <w:pStyle w:val="FootnoteText"/>
        <w:rPr>
          <w:sz w:val="16"/>
          <w:szCs w:val="16"/>
          <w:lang w:val="el-GR"/>
        </w:rPr>
      </w:pPr>
      <w:r w:rsidRPr="00D80E92">
        <w:rPr>
          <w:rStyle w:val="FootnoteReference"/>
          <w:sz w:val="16"/>
          <w:szCs w:val="16"/>
        </w:rPr>
        <w:footnoteRef/>
      </w:r>
      <w:r w:rsidRPr="00D80E92">
        <w:rPr>
          <w:sz w:val="16"/>
          <w:szCs w:val="16"/>
          <w:lang w:val="el-GR"/>
        </w:rPr>
        <w:t xml:space="preserve"> </w:t>
      </w:r>
      <w:r w:rsidRPr="00D80E92">
        <w:rPr>
          <w:sz w:val="16"/>
          <w:szCs w:val="16"/>
        </w:rPr>
        <w:t>M</w:t>
      </w:r>
      <w:r w:rsidRPr="00D80E92">
        <w:rPr>
          <w:sz w:val="16"/>
          <w:szCs w:val="16"/>
          <w:lang w:val="el-GR"/>
        </w:rPr>
        <w:t>ε βάση τα στοιχεία του Ομίλου Χρηματιστηρίου Ενέργειας (</w:t>
      </w:r>
      <w:proofErr w:type="spellStart"/>
      <w:r w:rsidRPr="00D80E92">
        <w:rPr>
          <w:sz w:val="16"/>
          <w:szCs w:val="16"/>
        </w:rPr>
        <w:t>EnEx</w:t>
      </w:r>
      <w:proofErr w:type="spellEnd"/>
      <w:r w:rsidRPr="00D80E92">
        <w:rPr>
          <w:sz w:val="16"/>
          <w:szCs w:val="16"/>
          <w:lang w:val="el-GR"/>
        </w:rPr>
        <w:t>)</w:t>
      </w:r>
    </w:p>
  </w:footnote>
  <w:footnote w:id="7">
    <w:p w14:paraId="79CAFA39" w14:textId="519546F0" w:rsidR="00583040" w:rsidRPr="00470B46" w:rsidRDefault="00583040" w:rsidP="00583040">
      <w:pPr>
        <w:pStyle w:val="FootnoteText"/>
        <w:rPr>
          <w:lang w:val="el-GR"/>
        </w:rPr>
      </w:pPr>
      <w:r w:rsidRPr="00D80E92">
        <w:rPr>
          <w:rStyle w:val="FootnoteReference"/>
          <w:sz w:val="16"/>
          <w:szCs w:val="16"/>
        </w:rPr>
        <w:footnoteRef/>
      </w:r>
      <w:r w:rsidRPr="00D80E92">
        <w:rPr>
          <w:sz w:val="16"/>
          <w:szCs w:val="16"/>
          <w:lang w:val="el-GR"/>
        </w:rPr>
        <w:t xml:space="preserve"> Με βάση τα στοιχεία τ</w:t>
      </w:r>
      <w:r w:rsidR="003E1DEC" w:rsidRPr="00D80E92">
        <w:rPr>
          <w:sz w:val="16"/>
          <w:szCs w:val="16"/>
          <w:lang w:val="el-GR"/>
        </w:rPr>
        <w:t xml:space="preserve">ων </w:t>
      </w:r>
      <w:r w:rsidR="000B186F" w:rsidRPr="00D80E92">
        <w:rPr>
          <w:sz w:val="16"/>
          <w:szCs w:val="16"/>
        </w:rPr>
        <w:t>ANRE</w:t>
      </w:r>
      <w:r w:rsidR="00470B46" w:rsidRPr="00D80E92">
        <w:rPr>
          <w:sz w:val="16"/>
          <w:szCs w:val="16"/>
          <w:lang w:val="el-GR"/>
        </w:rPr>
        <w:t xml:space="preserve"> και </w:t>
      </w:r>
      <w:proofErr w:type="spellStart"/>
      <w:r w:rsidR="00470B46" w:rsidRPr="00D80E92">
        <w:rPr>
          <w:sz w:val="16"/>
          <w:szCs w:val="16"/>
        </w:rPr>
        <w:t>Transelectrica</w:t>
      </w:r>
      <w:proofErr w:type="spellEnd"/>
    </w:p>
  </w:footnote>
  <w:footnote w:id="8">
    <w:p w14:paraId="2549CA26" w14:textId="5154FF00" w:rsidR="00583040" w:rsidRPr="00200B6F" w:rsidRDefault="00583040" w:rsidP="008B32C2">
      <w:pPr>
        <w:pStyle w:val="FootnoteText"/>
        <w:rPr>
          <w:sz w:val="16"/>
          <w:szCs w:val="16"/>
          <w:lang w:val="el-GR"/>
        </w:rPr>
      </w:pPr>
      <w:r w:rsidRPr="00B50C9B">
        <w:rPr>
          <w:rStyle w:val="FootnoteReference"/>
          <w:sz w:val="16"/>
          <w:szCs w:val="16"/>
        </w:rPr>
        <w:footnoteRef/>
      </w:r>
      <w:r w:rsidRPr="00B50C9B">
        <w:rPr>
          <w:sz w:val="16"/>
          <w:szCs w:val="16"/>
          <w:lang w:val="el-GR"/>
        </w:rPr>
        <w:t xml:space="preserve"> </w:t>
      </w:r>
      <w:r w:rsidRPr="009A4351">
        <w:rPr>
          <w:sz w:val="16"/>
          <w:szCs w:val="16"/>
          <w:lang w:val="el-GR"/>
        </w:rPr>
        <w:t>Αναθεωρημένα μεγέθη σε σχέση με τα δημοσιευμένα της 31.12.2023</w:t>
      </w:r>
      <w:r w:rsidR="00591645" w:rsidRPr="00200B6F">
        <w:rPr>
          <w:sz w:val="16"/>
          <w:szCs w:val="16"/>
          <w:lang w:val="el-GR"/>
        </w:rPr>
        <w:t xml:space="preserve">. </w:t>
      </w:r>
      <w:r w:rsidR="00545CD9" w:rsidRPr="00545CD9">
        <w:rPr>
          <w:sz w:val="16"/>
          <w:szCs w:val="16"/>
          <w:lang w:val="el-GR"/>
        </w:rPr>
        <w:t>Περισσότερες πληροφορίες στη Σημείωση 6 της Ετήσιας Οικονομικής Έκθεσης 2024.</w:t>
      </w:r>
    </w:p>
  </w:footnote>
  <w:footnote w:id="9">
    <w:p w14:paraId="49639432" w14:textId="10774E8D" w:rsidR="00AB6662" w:rsidRPr="00200B6F" w:rsidRDefault="00AB6662">
      <w:pPr>
        <w:pStyle w:val="FootnoteText"/>
        <w:rPr>
          <w:sz w:val="16"/>
          <w:szCs w:val="16"/>
          <w:lang w:val="el-GR"/>
        </w:rPr>
      </w:pPr>
      <w:r w:rsidRPr="00DD3E0A">
        <w:rPr>
          <w:rStyle w:val="FootnoteReference"/>
          <w:sz w:val="16"/>
          <w:szCs w:val="16"/>
        </w:rPr>
        <w:footnoteRef/>
      </w:r>
      <w:r w:rsidRPr="00DD3E0A">
        <w:rPr>
          <w:sz w:val="16"/>
          <w:szCs w:val="16"/>
          <w:lang w:val="el-GR"/>
        </w:rPr>
        <w:t xml:space="preserve"> Αναθεωρημένα μεγέθη σε σχέση με τα δημοσιευμένα της 31.12.2023</w:t>
      </w:r>
      <w:r w:rsidR="00643B22" w:rsidRPr="00200B6F">
        <w:rPr>
          <w:sz w:val="16"/>
          <w:szCs w:val="16"/>
          <w:lang w:val="el-GR"/>
        </w:rPr>
        <w:t xml:space="preserve">. </w:t>
      </w:r>
      <w:r w:rsidR="00643B22" w:rsidRPr="00643B22">
        <w:rPr>
          <w:sz w:val="16"/>
          <w:szCs w:val="16"/>
          <w:lang w:val="el-GR"/>
        </w:rPr>
        <w:t>Περισσότερες πληροφορίες στη Σημείωση</w:t>
      </w:r>
      <w:r w:rsidR="00DA0BB5" w:rsidRPr="00200B6F">
        <w:rPr>
          <w:sz w:val="16"/>
          <w:szCs w:val="16"/>
          <w:lang w:val="el-GR"/>
        </w:rPr>
        <w:t xml:space="preserve"> </w:t>
      </w:r>
      <w:r w:rsidR="006D5E8B" w:rsidRPr="00200B6F">
        <w:rPr>
          <w:sz w:val="16"/>
          <w:szCs w:val="16"/>
          <w:lang w:val="el-GR"/>
        </w:rPr>
        <w:t>6</w:t>
      </w:r>
      <w:r w:rsidR="00643B22" w:rsidRPr="00643B22">
        <w:rPr>
          <w:sz w:val="16"/>
          <w:szCs w:val="16"/>
          <w:lang w:val="el-GR"/>
        </w:rPr>
        <w:t xml:space="preserve"> της Ετήσιας Οικονομικής Έκθεσης 2024.</w:t>
      </w:r>
    </w:p>
  </w:footnote>
  <w:footnote w:id="10">
    <w:p w14:paraId="1BBF9B4A" w14:textId="6B6D1377" w:rsidR="00A143F8" w:rsidRPr="006D5E8B" w:rsidRDefault="00A143F8">
      <w:pPr>
        <w:pStyle w:val="FootnoteText"/>
        <w:rPr>
          <w:sz w:val="16"/>
          <w:szCs w:val="16"/>
          <w:lang w:val="el-GR"/>
        </w:rPr>
      </w:pPr>
      <w:r w:rsidRPr="00DD3E0A">
        <w:rPr>
          <w:rStyle w:val="FootnoteReference"/>
          <w:sz w:val="16"/>
          <w:szCs w:val="16"/>
        </w:rPr>
        <w:footnoteRef/>
      </w:r>
      <w:r w:rsidRPr="00DD3E0A">
        <w:rPr>
          <w:sz w:val="16"/>
          <w:szCs w:val="16"/>
          <w:lang w:val="el-GR"/>
        </w:rPr>
        <w:t xml:space="preserve"> Αναθεωρημένα μεγέθη σε σχέση με τα δημοσιευμένα της 31.12.2023</w:t>
      </w:r>
      <w:r w:rsidR="00643B22" w:rsidRPr="00200B6F">
        <w:rPr>
          <w:sz w:val="16"/>
          <w:szCs w:val="16"/>
          <w:lang w:val="el-GR"/>
        </w:rPr>
        <w:t xml:space="preserve">. </w:t>
      </w:r>
      <w:r w:rsidR="00643B22" w:rsidRPr="00643B22">
        <w:rPr>
          <w:sz w:val="16"/>
          <w:szCs w:val="16"/>
          <w:lang w:val="el-GR"/>
        </w:rPr>
        <w:t>Περισσότερες πληροφορίες στη Σημείωση 6 της Ετήσιας Οικονομικής Έκθεσης 2024.</w:t>
      </w:r>
    </w:p>
  </w:footnote>
  <w:footnote w:id="11">
    <w:p w14:paraId="1D4BDC0D" w14:textId="690534EC" w:rsidR="006D22DD" w:rsidRPr="006D22DD" w:rsidRDefault="006D22DD">
      <w:pPr>
        <w:pStyle w:val="FootnoteText"/>
        <w:rPr>
          <w:lang w:val="el-GR"/>
        </w:rPr>
      </w:pPr>
      <w:r>
        <w:rPr>
          <w:rStyle w:val="FootnoteReference"/>
        </w:rPr>
        <w:footnoteRef/>
      </w:r>
      <w:r w:rsidRPr="004444B1">
        <w:rPr>
          <w:lang w:val="el-GR"/>
        </w:rPr>
        <w:t xml:space="preserve"> </w:t>
      </w:r>
      <w:bookmarkStart w:id="0" w:name="_Hlk193884810"/>
      <w:r w:rsidR="004444B1" w:rsidRPr="004444B1">
        <w:rPr>
          <w:sz w:val="16"/>
          <w:szCs w:val="16"/>
          <w:lang w:val="el-GR"/>
        </w:rPr>
        <w:t>Σημείωση 37.2 Ετήσιας Οικονομικής Έκθεσης 2024</w:t>
      </w:r>
      <w:bookmarkEnd w:id="0"/>
    </w:p>
  </w:footnote>
  <w:footnote w:id="12">
    <w:p w14:paraId="05326412" w14:textId="49ADD6DE" w:rsidR="0036328C" w:rsidRPr="0036328C" w:rsidRDefault="0036328C">
      <w:pPr>
        <w:pStyle w:val="FootnoteText"/>
        <w:rPr>
          <w:lang w:val="el-GR"/>
        </w:rPr>
      </w:pPr>
      <w:r>
        <w:rPr>
          <w:rStyle w:val="FootnoteReference"/>
        </w:rPr>
        <w:footnoteRef/>
      </w:r>
      <w:r w:rsidRPr="004444B1">
        <w:rPr>
          <w:lang w:val="el-GR"/>
        </w:rPr>
        <w:t xml:space="preserve"> </w:t>
      </w:r>
      <w:r w:rsidR="001714FA" w:rsidRPr="001714FA">
        <w:rPr>
          <w:sz w:val="16"/>
          <w:szCs w:val="16"/>
          <w:lang w:val="el-GR"/>
        </w:rPr>
        <w:t>Σημείωση 17 και 50.4 Ετήσιας Οικονομικής Έκθεσης 2024</w:t>
      </w:r>
    </w:p>
  </w:footnote>
  <w:footnote w:id="13">
    <w:p w14:paraId="0296CD43" w14:textId="15DC2B4C" w:rsidR="007C21B9" w:rsidRPr="006D22DD" w:rsidRDefault="007C21B9" w:rsidP="007C21B9">
      <w:pPr>
        <w:pStyle w:val="FootnoteText"/>
        <w:rPr>
          <w:lang w:val="el-GR"/>
        </w:rPr>
      </w:pPr>
      <w:r>
        <w:rPr>
          <w:rStyle w:val="FootnoteReference"/>
        </w:rPr>
        <w:footnoteRef/>
      </w:r>
      <w:r w:rsidRPr="004444B1">
        <w:rPr>
          <w:lang w:val="el-GR"/>
        </w:rPr>
        <w:t xml:space="preserve"> </w:t>
      </w:r>
      <w:r w:rsidR="004444B1" w:rsidRPr="004444B1">
        <w:rPr>
          <w:sz w:val="16"/>
          <w:szCs w:val="16"/>
          <w:lang w:val="el-GR"/>
        </w:rPr>
        <w:t>Σημείωση 37.2 Ετήσιας Οικονομικής Έκθεσης 2024</w:t>
      </w:r>
    </w:p>
  </w:footnote>
  <w:footnote w:id="14">
    <w:p w14:paraId="6E4D4413" w14:textId="547149F2" w:rsidR="007C21B9" w:rsidRPr="0036328C" w:rsidRDefault="007C21B9" w:rsidP="007C21B9">
      <w:pPr>
        <w:pStyle w:val="FootnoteText"/>
        <w:rPr>
          <w:lang w:val="el-GR"/>
        </w:rPr>
      </w:pPr>
      <w:r>
        <w:rPr>
          <w:rStyle w:val="FootnoteReference"/>
        </w:rPr>
        <w:footnoteRef/>
      </w:r>
      <w:r w:rsidRPr="004444B1">
        <w:rPr>
          <w:lang w:val="el-GR"/>
        </w:rPr>
        <w:t xml:space="preserve"> </w:t>
      </w:r>
      <w:r w:rsidR="001714FA" w:rsidRPr="001714FA">
        <w:rPr>
          <w:sz w:val="16"/>
          <w:szCs w:val="16"/>
          <w:lang w:val="el-GR"/>
        </w:rPr>
        <w:t>Σημείωση 17 και 50.4 Ετήσιας Οικονομικής Έκθεσης 2024</w:t>
      </w:r>
    </w:p>
  </w:footnote>
  <w:footnote w:id="15">
    <w:p w14:paraId="325E5933" w14:textId="77777777" w:rsidR="005628F3" w:rsidRPr="006D22DD" w:rsidRDefault="005628F3" w:rsidP="005628F3">
      <w:pPr>
        <w:pStyle w:val="FootnoteText"/>
        <w:rPr>
          <w:lang w:val="el-GR"/>
        </w:rPr>
      </w:pPr>
      <w:r>
        <w:rPr>
          <w:rStyle w:val="FootnoteReference"/>
        </w:rPr>
        <w:footnoteRef/>
      </w:r>
      <w:r w:rsidRPr="004444B1">
        <w:rPr>
          <w:lang w:val="el-GR"/>
        </w:rPr>
        <w:t xml:space="preserve"> </w:t>
      </w:r>
      <w:r w:rsidRPr="004444B1">
        <w:rPr>
          <w:sz w:val="16"/>
          <w:szCs w:val="16"/>
          <w:lang w:val="el-GR"/>
        </w:rPr>
        <w:t>Σημείωση 37.2 Ετήσιας Οικονομικής Έκθεσης 2024</w:t>
      </w:r>
    </w:p>
  </w:footnote>
  <w:footnote w:id="16">
    <w:p w14:paraId="6890C248" w14:textId="77777777" w:rsidR="005628F3" w:rsidRPr="001714FA" w:rsidRDefault="005628F3" w:rsidP="005628F3">
      <w:pPr>
        <w:pStyle w:val="FootnoteText"/>
        <w:rPr>
          <w:lang w:val="el-GR"/>
        </w:rPr>
      </w:pPr>
      <w:r>
        <w:rPr>
          <w:rStyle w:val="FootnoteReference"/>
        </w:rPr>
        <w:footnoteRef/>
      </w:r>
      <w:r w:rsidRPr="001714FA">
        <w:rPr>
          <w:lang w:val="el-GR"/>
        </w:rPr>
        <w:t xml:space="preserve"> </w:t>
      </w:r>
      <w:r w:rsidRPr="001714FA">
        <w:rPr>
          <w:sz w:val="16"/>
          <w:szCs w:val="16"/>
          <w:lang w:val="el-GR"/>
        </w:rPr>
        <w:t>Σημείωση 17 και 50.4 Ετήσιας Οικονομικής Έκθεσης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6EF" w14:textId="5C03BB37" w:rsidR="0054172F" w:rsidRDefault="00000000">
    <w:pPr>
      <w:pStyle w:val="Header"/>
    </w:pPr>
    <w:r>
      <w:rPr>
        <w:noProof/>
      </w:rPr>
      <w:pict w14:anchorId="163208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6270" o:spid="_x0000_s1025" type="#_x0000_t75" alt="/Volumes/BriefMe_06/005-DDB/2020/113-DEH/035-PressRealesa/Telikes_Maketes/Press-Release 21x29,7cm-01-72ppi.jpg" style="position:absolute;margin-left:0;margin-top:0;width:297.5pt;height:421pt;z-index:-251656704;mso-wrap-edited:f;mso-position-horizontal:center;mso-position-horizontal-relative:margin;mso-position-vertical:center;mso-position-vertical-relative:margin" o:allowincell="f">
          <v:imagedata r:id="rId1" o:title="Press-Release 21x29,7cm-01-72pp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D1C" w14:textId="1D727399" w:rsidR="0054172F" w:rsidRDefault="0037611A" w:rsidP="00504205">
    <w:pPr>
      <w:pStyle w:val="Header"/>
    </w:pPr>
    <w:r>
      <w:rPr>
        <w:noProof/>
      </w:rPr>
      <w:drawing>
        <wp:anchor distT="0" distB="0" distL="114300" distR="114300" simplePos="0" relativeHeight="251658752" behindDoc="0" locked="0" layoutInCell="1" allowOverlap="1" wp14:anchorId="7EB6D64B" wp14:editId="53AB23D7">
          <wp:simplePos x="0" y="0"/>
          <wp:positionH relativeFrom="page">
            <wp:align>right</wp:align>
          </wp:positionH>
          <wp:positionV relativeFrom="paragraph">
            <wp:posOffset>-321869</wp:posOffset>
          </wp:positionV>
          <wp:extent cx="7565085" cy="1290320"/>
          <wp:effectExtent l="0" t="0" r="0" b="5080"/>
          <wp:wrapNone/>
          <wp:docPr id="1327509017" name="Picture 3" descr="A blue and white strip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09017" name="Picture 3" descr="A blue and white striped objec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BD0F" w14:textId="0DAB635F" w:rsidR="0054172F" w:rsidRDefault="001E71D4">
    <w:pPr>
      <w:pStyle w:val="Header"/>
    </w:pPr>
    <w:r>
      <w:rPr>
        <w:noProof/>
      </w:rPr>
      <w:drawing>
        <wp:anchor distT="0" distB="0" distL="114300" distR="114300" simplePos="0" relativeHeight="251655680" behindDoc="1" locked="0" layoutInCell="1" allowOverlap="1" wp14:anchorId="6EDEE2AF" wp14:editId="565ABC0B">
          <wp:simplePos x="0" y="0"/>
          <wp:positionH relativeFrom="page">
            <wp:align>right</wp:align>
          </wp:positionH>
          <wp:positionV relativeFrom="paragraph">
            <wp:posOffset>-76200</wp:posOffset>
          </wp:positionV>
          <wp:extent cx="7552321" cy="1243627"/>
          <wp:effectExtent l="0" t="0" r="0" b="0"/>
          <wp:wrapNone/>
          <wp:docPr id="1713815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1540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321" cy="12436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DBC"/>
    <w:multiLevelType w:val="hybridMultilevel"/>
    <w:tmpl w:val="9E581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1956DB0"/>
    <w:multiLevelType w:val="hybridMultilevel"/>
    <w:tmpl w:val="84FC3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BA687D"/>
    <w:multiLevelType w:val="hybridMultilevel"/>
    <w:tmpl w:val="2BBC35E6"/>
    <w:lvl w:ilvl="0" w:tplc="4C142C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EF7"/>
    <w:multiLevelType w:val="hybridMultilevel"/>
    <w:tmpl w:val="55F2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42735"/>
    <w:multiLevelType w:val="hybridMultilevel"/>
    <w:tmpl w:val="1C32F6D4"/>
    <w:lvl w:ilvl="0" w:tplc="DB781F1E">
      <w:numFmt w:val="bullet"/>
      <w:lvlText w:val="-"/>
      <w:lvlJc w:val="left"/>
      <w:pPr>
        <w:ind w:left="720" w:hanging="360"/>
      </w:pPr>
      <w:rPr>
        <w:rFonts w:ascii="Ping LCG Regular" w:eastAsiaTheme="minorHAnsi" w:hAnsi="Ping LCG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C727F"/>
    <w:multiLevelType w:val="hybridMultilevel"/>
    <w:tmpl w:val="A5C2B7DE"/>
    <w:lvl w:ilvl="0" w:tplc="9EDCC9D4">
      <w:start w:val="12"/>
      <w:numFmt w:val="bullet"/>
      <w:lvlText w:val="-"/>
      <w:lvlJc w:val="left"/>
      <w:pPr>
        <w:ind w:left="360" w:hanging="360"/>
      </w:pPr>
      <w:rPr>
        <w:rFonts w:ascii="Arial" w:eastAsia="Times New Roman" w:hAnsi="Aria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EF1D79"/>
    <w:multiLevelType w:val="hybridMultilevel"/>
    <w:tmpl w:val="A2DEC630"/>
    <w:lvl w:ilvl="0" w:tplc="4F0A8ADE">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5D58DC"/>
    <w:multiLevelType w:val="hybridMultilevel"/>
    <w:tmpl w:val="886C0C90"/>
    <w:lvl w:ilvl="0" w:tplc="6DD872AE">
      <w:start w:val="1"/>
      <w:numFmt w:val="bullet"/>
      <w:lvlText w:val=""/>
      <w:lvlJc w:val="left"/>
      <w:pPr>
        <w:ind w:left="720" w:hanging="360"/>
      </w:pPr>
      <w:rPr>
        <w:rFonts w:ascii="Symbol" w:hAnsi="Symbol"/>
      </w:rPr>
    </w:lvl>
    <w:lvl w:ilvl="1" w:tplc="EF60CA7E">
      <w:start w:val="1"/>
      <w:numFmt w:val="bullet"/>
      <w:lvlText w:val=""/>
      <w:lvlJc w:val="left"/>
      <w:pPr>
        <w:ind w:left="720" w:hanging="360"/>
      </w:pPr>
      <w:rPr>
        <w:rFonts w:ascii="Symbol" w:hAnsi="Symbol"/>
      </w:rPr>
    </w:lvl>
    <w:lvl w:ilvl="2" w:tplc="DC6CABD4">
      <w:start w:val="1"/>
      <w:numFmt w:val="bullet"/>
      <w:lvlText w:val=""/>
      <w:lvlJc w:val="left"/>
      <w:pPr>
        <w:ind w:left="720" w:hanging="360"/>
      </w:pPr>
      <w:rPr>
        <w:rFonts w:ascii="Symbol" w:hAnsi="Symbol"/>
      </w:rPr>
    </w:lvl>
    <w:lvl w:ilvl="3" w:tplc="5D085A9E">
      <w:start w:val="1"/>
      <w:numFmt w:val="bullet"/>
      <w:lvlText w:val=""/>
      <w:lvlJc w:val="left"/>
      <w:pPr>
        <w:ind w:left="720" w:hanging="360"/>
      </w:pPr>
      <w:rPr>
        <w:rFonts w:ascii="Symbol" w:hAnsi="Symbol"/>
      </w:rPr>
    </w:lvl>
    <w:lvl w:ilvl="4" w:tplc="E600206A">
      <w:start w:val="1"/>
      <w:numFmt w:val="bullet"/>
      <w:lvlText w:val=""/>
      <w:lvlJc w:val="left"/>
      <w:pPr>
        <w:ind w:left="720" w:hanging="360"/>
      </w:pPr>
      <w:rPr>
        <w:rFonts w:ascii="Symbol" w:hAnsi="Symbol"/>
      </w:rPr>
    </w:lvl>
    <w:lvl w:ilvl="5" w:tplc="C29EA2B2">
      <w:start w:val="1"/>
      <w:numFmt w:val="bullet"/>
      <w:lvlText w:val=""/>
      <w:lvlJc w:val="left"/>
      <w:pPr>
        <w:ind w:left="720" w:hanging="360"/>
      </w:pPr>
      <w:rPr>
        <w:rFonts w:ascii="Symbol" w:hAnsi="Symbol"/>
      </w:rPr>
    </w:lvl>
    <w:lvl w:ilvl="6" w:tplc="0DCC9644">
      <w:start w:val="1"/>
      <w:numFmt w:val="bullet"/>
      <w:lvlText w:val=""/>
      <w:lvlJc w:val="left"/>
      <w:pPr>
        <w:ind w:left="720" w:hanging="360"/>
      </w:pPr>
      <w:rPr>
        <w:rFonts w:ascii="Symbol" w:hAnsi="Symbol"/>
      </w:rPr>
    </w:lvl>
    <w:lvl w:ilvl="7" w:tplc="27380D48">
      <w:start w:val="1"/>
      <w:numFmt w:val="bullet"/>
      <w:lvlText w:val=""/>
      <w:lvlJc w:val="left"/>
      <w:pPr>
        <w:ind w:left="720" w:hanging="360"/>
      </w:pPr>
      <w:rPr>
        <w:rFonts w:ascii="Symbol" w:hAnsi="Symbol"/>
      </w:rPr>
    </w:lvl>
    <w:lvl w:ilvl="8" w:tplc="F77044CE">
      <w:start w:val="1"/>
      <w:numFmt w:val="bullet"/>
      <w:lvlText w:val=""/>
      <w:lvlJc w:val="left"/>
      <w:pPr>
        <w:ind w:left="720" w:hanging="360"/>
      </w:pPr>
      <w:rPr>
        <w:rFonts w:ascii="Symbol" w:hAnsi="Symbol"/>
      </w:rPr>
    </w:lvl>
  </w:abstractNum>
  <w:abstractNum w:abstractNumId="8" w15:restartNumberingAfterBreak="0">
    <w:nsid w:val="63CF38C4"/>
    <w:multiLevelType w:val="hybridMultilevel"/>
    <w:tmpl w:val="0A408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F9610B"/>
    <w:multiLevelType w:val="hybridMultilevel"/>
    <w:tmpl w:val="A0DCAA9C"/>
    <w:lvl w:ilvl="0" w:tplc="5AF8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F0A46"/>
    <w:multiLevelType w:val="hybridMultilevel"/>
    <w:tmpl w:val="5718C70C"/>
    <w:lvl w:ilvl="0" w:tplc="9B92B656">
      <w:start w:val="1"/>
      <w:numFmt w:val="bullet"/>
      <w:lvlText w:val="n"/>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B322877"/>
    <w:multiLevelType w:val="hybridMultilevel"/>
    <w:tmpl w:val="5F246BE4"/>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DE707D9"/>
    <w:multiLevelType w:val="hybridMultilevel"/>
    <w:tmpl w:val="84DA23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2B4092"/>
    <w:multiLevelType w:val="hybridMultilevel"/>
    <w:tmpl w:val="C3369D3A"/>
    <w:lvl w:ilvl="0" w:tplc="0408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28B7D05"/>
    <w:multiLevelType w:val="hybridMultilevel"/>
    <w:tmpl w:val="C382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776108"/>
    <w:multiLevelType w:val="hybridMultilevel"/>
    <w:tmpl w:val="678037EA"/>
    <w:lvl w:ilvl="0" w:tplc="9B92B656">
      <w:start w:val="1"/>
      <w:numFmt w:val="bullet"/>
      <w:lvlText w:val="n"/>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15032382">
    <w:abstractNumId w:val="12"/>
  </w:num>
  <w:num w:numId="2" w16cid:durableId="542209210">
    <w:abstractNumId w:val="10"/>
  </w:num>
  <w:num w:numId="3" w16cid:durableId="689646081">
    <w:abstractNumId w:val="15"/>
  </w:num>
  <w:num w:numId="4" w16cid:durableId="1604342890">
    <w:abstractNumId w:val="11"/>
  </w:num>
  <w:num w:numId="5" w16cid:durableId="1900900844">
    <w:abstractNumId w:val="13"/>
  </w:num>
  <w:num w:numId="6" w16cid:durableId="661660842">
    <w:abstractNumId w:val="0"/>
  </w:num>
  <w:num w:numId="7" w16cid:durableId="1574581921">
    <w:abstractNumId w:val="1"/>
  </w:num>
  <w:num w:numId="8" w16cid:durableId="1417750542">
    <w:abstractNumId w:val="11"/>
  </w:num>
  <w:num w:numId="9" w16cid:durableId="167446193">
    <w:abstractNumId w:val="4"/>
  </w:num>
  <w:num w:numId="10" w16cid:durableId="625352236">
    <w:abstractNumId w:val="14"/>
  </w:num>
  <w:num w:numId="11" w16cid:durableId="961695150">
    <w:abstractNumId w:val="3"/>
  </w:num>
  <w:num w:numId="12" w16cid:durableId="160629590">
    <w:abstractNumId w:val="8"/>
  </w:num>
  <w:num w:numId="13" w16cid:durableId="1317878920">
    <w:abstractNumId w:val="2"/>
  </w:num>
  <w:num w:numId="14" w16cid:durableId="1662345728">
    <w:abstractNumId w:val="5"/>
  </w:num>
  <w:num w:numId="15" w16cid:durableId="627929397">
    <w:abstractNumId w:val="9"/>
  </w:num>
  <w:num w:numId="16" w16cid:durableId="1509326642">
    <w:abstractNumId w:val="6"/>
  </w:num>
  <w:num w:numId="17" w16cid:durableId="2032368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F"/>
    <w:rsid w:val="00000B90"/>
    <w:rsid w:val="00000EE3"/>
    <w:rsid w:val="00001D4A"/>
    <w:rsid w:val="0000389A"/>
    <w:rsid w:val="00005178"/>
    <w:rsid w:val="00005624"/>
    <w:rsid w:val="00005871"/>
    <w:rsid w:val="00005B4C"/>
    <w:rsid w:val="00005E9F"/>
    <w:rsid w:val="000063DF"/>
    <w:rsid w:val="000068B2"/>
    <w:rsid w:val="00006AE6"/>
    <w:rsid w:val="00006F1F"/>
    <w:rsid w:val="00007045"/>
    <w:rsid w:val="0000717C"/>
    <w:rsid w:val="0000730B"/>
    <w:rsid w:val="00007361"/>
    <w:rsid w:val="000078B3"/>
    <w:rsid w:val="000101DB"/>
    <w:rsid w:val="00010801"/>
    <w:rsid w:val="00011963"/>
    <w:rsid w:val="00011FD0"/>
    <w:rsid w:val="00013A9A"/>
    <w:rsid w:val="00014624"/>
    <w:rsid w:val="00015B62"/>
    <w:rsid w:val="000164ED"/>
    <w:rsid w:val="000165C2"/>
    <w:rsid w:val="000169EA"/>
    <w:rsid w:val="00017297"/>
    <w:rsid w:val="00020680"/>
    <w:rsid w:val="00020966"/>
    <w:rsid w:val="0002120E"/>
    <w:rsid w:val="00022D76"/>
    <w:rsid w:val="000234AD"/>
    <w:rsid w:val="000243CD"/>
    <w:rsid w:val="000247EA"/>
    <w:rsid w:val="000258D9"/>
    <w:rsid w:val="0002671F"/>
    <w:rsid w:val="00027292"/>
    <w:rsid w:val="000278E0"/>
    <w:rsid w:val="0002791D"/>
    <w:rsid w:val="0003011A"/>
    <w:rsid w:val="00030616"/>
    <w:rsid w:val="00030A10"/>
    <w:rsid w:val="00030C1E"/>
    <w:rsid w:val="00030D67"/>
    <w:rsid w:val="000318E5"/>
    <w:rsid w:val="00031F40"/>
    <w:rsid w:val="00033953"/>
    <w:rsid w:val="000342E8"/>
    <w:rsid w:val="00034F16"/>
    <w:rsid w:val="00035927"/>
    <w:rsid w:val="0003604A"/>
    <w:rsid w:val="000361E0"/>
    <w:rsid w:val="00036368"/>
    <w:rsid w:val="00036594"/>
    <w:rsid w:val="0003691C"/>
    <w:rsid w:val="000373CD"/>
    <w:rsid w:val="0003750C"/>
    <w:rsid w:val="0003794A"/>
    <w:rsid w:val="00037A1F"/>
    <w:rsid w:val="00037AAB"/>
    <w:rsid w:val="00040330"/>
    <w:rsid w:val="00040371"/>
    <w:rsid w:val="00040547"/>
    <w:rsid w:val="000409CC"/>
    <w:rsid w:val="00040BAE"/>
    <w:rsid w:val="00040F50"/>
    <w:rsid w:val="00040FC6"/>
    <w:rsid w:val="000410BA"/>
    <w:rsid w:val="0004150D"/>
    <w:rsid w:val="0004155E"/>
    <w:rsid w:val="00041F1F"/>
    <w:rsid w:val="000420FB"/>
    <w:rsid w:val="000441CA"/>
    <w:rsid w:val="00044B43"/>
    <w:rsid w:val="00045E47"/>
    <w:rsid w:val="000466CD"/>
    <w:rsid w:val="00046EE0"/>
    <w:rsid w:val="00050B1E"/>
    <w:rsid w:val="00051089"/>
    <w:rsid w:val="000518E9"/>
    <w:rsid w:val="00051F5D"/>
    <w:rsid w:val="0005251A"/>
    <w:rsid w:val="00053B59"/>
    <w:rsid w:val="00054068"/>
    <w:rsid w:val="0005464C"/>
    <w:rsid w:val="00055634"/>
    <w:rsid w:val="000556A6"/>
    <w:rsid w:val="00056391"/>
    <w:rsid w:val="00056928"/>
    <w:rsid w:val="00057EDA"/>
    <w:rsid w:val="000605A7"/>
    <w:rsid w:val="000617E6"/>
    <w:rsid w:val="00062316"/>
    <w:rsid w:val="0006337B"/>
    <w:rsid w:val="00063407"/>
    <w:rsid w:val="000637A1"/>
    <w:rsid w:val="000639AB"/>
    <w:rsid w:val="00063B17"/>
    <w:rsid w:val="00063DA7"/>
    <w:rsid w:val="00063E65"/>
    <w:rsid w:val="000640E7"/>
    <w:rsid w:val="0006466A"/>
    <w:rsid w:val="000653CD"/>
    <w:rsid w:val="000654F5"/>
    <w:rsid w:val="000659E5"/>
    <w:rsid w:val="000700FC"/>
    <w:rsid w:val="00070772"/>
    <w:rsid w:val="00071F1D"/>
    <w:rsid w:val="00072349"/>
    <w:rsid w:val="00072974"/>
    <w:rsid w:val="00072BE3"/>
    <w:rsid w:val="00073206"/>
    <w:rsid w:val="0007354E"/>
    <w:rsid w:val="00073E97"/>
    <w:rsid w:val="00073F0A"/>
    <w:rsid w:val="0007492C"/>
    <w:rsid w:val="00074D34"/>
    <w:rsid w:val="000766EE"/>
    <w:rsid w:val="0007681F"/>
    <w:rsid w:val="0007684C"/>
    <w:rsid w:val="00076DA3"/>
    <w:rsid w:val="0008062F"/>
    <w:rsid w:val="00080FC7"/>
    <w:rsid w:val="00080FC8"/>
    <w:rsid w:val="00080FDE"/>
    <w:rsid w:val="0008133F"/>
    <w:rsid w:val="000817FA"/>
    <w:rsid w:val="0008194D"/>
    <w:rsid w:val="00081E12"/>
    <w:rsid w:val="00084368"/>
    <w:rsid w:val="00084F67"/>
    <w:rsid w:val="00085A07"/>
    <w:rsid w:val="00085F3C"/>
    <w:rsid w:val="0008681E"/>
    <w:rsid w:val="000873B5"/>
    <w:rsid w:val="000903DA"/>
    <w:rsid w:val="00090A25"/>
    <w:rsid w:val="00090EBD"/>
    <w:rsid w:val="00091714"/>
    <w:rsid w:val="00091B71"/>
    <w:rsid w:val="00092366"/>
    <w:rsid w:val="00092432"/>
    <w:rsid w:val="00092D10"/>
    <w:rsid w:val="00092D74"/>
    <w:rsid w:val="00092D85"/>
    <w:rsid w:val="00093DB5"/>
    <w:rsid w:val="00094322"/>
    <w:rsid w:val="0009469D"/>
    <w:rsid w:val="0009495F"/>
    <w:rsid w:val="00094AA8"/>
    <w:rsid w:val="000956DB"/>
    <w:rsid w:val="00095AFB"/>
    <w:rsid w:val="00095C53"/>
    <w:rsid w:val="00096107"/>
    <w:rsid w:val="000A0136"/>
    <w:rsid w:val="000A081A"/>
    <w:rsid w:val="000A094C"/>
    <w:rsid w:val="000A0B1C"/>
    <w:rsid w:val="000A26D2"/>
    <w:rsid w:val="000A26FF"/>
    <w:rsid w:val="000A2D31"/>
    <w:rsid w:val="000A2EEE"/>
    <w:rsid w:val="000A3229"/>
    <w:rsid w:val="000A3B4B"/>
    <w:rsid w:val="000A3F52"/>
    <w:rsid w:val="000A407F"/>
    <w:rsid w:val="000A4536"/>
    <w:rsid w:val="000A5BEB"/>
    <w:rsid w:val="000A60A4"/>
    <w:rsid w:val="000A6531"/>
    <w:rsid w:val="000A6C47"/>
    <w:rsid w:val="000A72F6"/>
    <w:rsid w:val="000A7890"/>
    <w:rsid w:val="000A789B"/>
    <w:rsid w:val="000B0353"/>
    <w:rsid w:val="000B1022"/>
    <w:rsid w:val="000B186F"/>
    <w:rsid w:val="000B2397"/>
    <w:rsid w:val="000B2640"/>
    <w:rsid w:val="000B2EE4"/>
    <w:rsid w:val="000B3A22"/>
    <w:rsid w:val="000B4186"/>
    <w:rsid w:val="000B493C"/>
    <w:rsid w:val="000B4CED"/>
    <w:rsid w:val="000B51C4"/>
    <w:rsid w:val="000B54A7"/>
    <w:rsid w:val="000B5524"/>
    <w:rsid w:val="000B60CB"/>
    <w:rsid w:val="000B62EA"/>
    <w:rsid w:val="000B699B"/>
    <w:rsid w:val="000B6BE6"/>
    <w:rsid w:val="000B7855"/>
    <w:rsid w:val="000B7B06"/>
    <w:rsid w:val="000C01E1"/>
    <w:rsid w:val="000C023B"/>
    <w:rsid w:val="000C04F0"/>
    <w:rsid w:val="000C0F50"/>
    <w:rsid w:val="000C12C5"/>
    <w:rsid w:val="000C1614"/>
    <w:rsid w:val="000C1FE1"/>
    <w:rsid w:val="000C37D8"/>
    <w:rsid w:val="000C3A90"/>
    <w:rsid w:val="000C438C"/>
    <w:rsid w:val="000C45BE"/>
    <w:rsid w:val="000C4A38"/>
    <w:rsid w:val="000C5579"/>
    <w:rsid w:val="000C60EB"/>
    <w:rsid w:val="000C64FD"/>
    <w:rsid w:val="000C7235"/>
    <w:rsid w:val="000C7A5D"/>
    <w:rsid w:val="000D01A3"/>
    <w:rsid w:val="000D0865"/>
    <w:rsid w:val="000D0AFD"/>
    <w:rsid w:val="000D0D0F"/>
    <w:rsid w:val="000D0E83"/>
    <w:rsid w:val="000D11C1"/>
    <w:rsid w:val="000D1D0E"/>
    <w:rsid w:val="000D1FE0"/>
    <w:rsid w:val="000D28C8"/>
    <w:rsid w:val="000D35B3"/>
    <w:rsid w:val="000D3D64"/>
    <w:rsid w:val="000D3DFA"/>
    <w:rsid w:val="000D4319"/>
    <w:rsid w:val="000D527B"/>
    <w:rsid w:val="000D607C"/>
    <w:rsid w:val="000D6F54"/>
    <w:rsid w:val="000D7232"/>
    <w:rsid w:val="000D7375"/>
    <w:rsid w:val="000D73E1"/>
    <w:rsid w:val="000D7473"/>
    <w:rsid w:val="000D7BB4"/>
    <w:rsid w:val="000E0162"/>
    <w:rsid w:val="000E0AFF"/>
    <w:rsid w:val="000E1492"/>
    <w:rsid w:val="000E2219"/>
    <w:rsid w:val="000E29A5"/>
    <w:rsid w:val="000E342C"/>
    <w:rsid w:val="000E373D"/>
    <w:rsid w:val="000E3EDA"/>
    <w:rsid w:val="000E4578"/>
    <w:rsid w:val="000E4C94"/>
    <w:rsid w:val="000E4DC2"/>
    <w:rsid w:val="000E4F47"/>
    <w:rsid w:val="000E5716"/>
    <w:rsid w:val="000E5FE8"/>
    <w:rsid w:val="000E6657"/>
    <w:rsid w:val="000E6B0A"/>
    <w:rsid w:val="000E7238"/>
    <w:rsid w:val="000E77A0"/>
    <w:rsid w:val="000E7FCF"/>
    <w:rsid w:val="000F04CF"/>
    <w:rsid w:val="000F0D00"/>
    <w:rsid w:val="000F0FBB"/>
    <w:rsid w:val="000F154A"/>
    <w:rsid w:val="000F216D"/>
    <w:rsid w:val="000F2DD5"/>
    <w:rsid w:val="000F3233"/>
    <w:rsid w:val="000F3628"/>
    <w:rsid w:val="000F4506"/>
    <w:rsid w:val="000F50E7"/>
    <w:rsid w:val="000F74BC"/>
    <w:rsid w:val="000F7B34"/>
    <w:rsid w:val="000F7F76"/>
    <w:rsid w:val="001001C5"/>
    <w:rsid w:val="001003FC"/>
    <w:rsid w:val="00100561"/>
    <w:rsid w:val="001011B4"/>
    <w:rsid w:val="00102681"/>
    <w:rsid w:val="0010386B"/>
    <w:rsid w:val="00103CB6"/>
    <w:rsid w:val="001066E9"/>
    <w:rsid w:val="001071D1"/>
    <w:rsid w:val="001072A1"/>
    <w:rsid w:val="00107392"/>
    <w:rsid w:val="00107458"/>
    <w:rsid w:val="001102B3"/>
    <w:rsid w:val="0011049E"/>
    <w:rsid w:val="00111036"/>
    <w:rsid w:val="00111274"/>
    <w:rsid w:val="001114E7"/>
    <w:rsid w:val="00111824"/>
    <w:rsid w:val="00111E3A"/>
    <w:rsid w:val="00113439"/>
    <w:rsid w:val="001138EB"/>
    <w:rsid w:val="00113A58"/>
    <w:rsid w:val="00114696"/>
    <w:rsid w:val="00114898"/>
    <w:rsid w:val="001163D9"/>
    <w:rsid w:val="00116804"/>
    <w:rsid w:val="001170DE"/>
    <w:rsid w:val="001173D5"/>
    <w:rsid w:val="0011764D"/>
    <w:rsid w:val="00117672"/>
    <w:rsid w:val="00117884"/>
    <w:rsid w:val="00117915"/>
    <w:rsid w:val="00117AD7"/>
    <w:rsid w:val="00117FD9"/>
    <w:rsid w:val="00121D13"/>
    <w:rsid w:val="00121D18"/>
    <w:rsid w:val="00121F51"/>
    <w:rsid w:val="00122415"/>
    <w:rsid w:val="0012256C"/>
    <w:rsid w:val="00122AFD"/>
    <w:rsid w:val="00122E3B"/>
    <w:rsid w:val="001230C9"/>
    <w:rsid w:val="001231FF"/>
    <w:rsid w:val="001232ED"/>
    <w:rsid w:val="001234DA"/>
    <w:rsid w:val="001236B9"/>
    <w:rsid w:val="00124400"/>
    <w:rsid w:val="00124D96"/>
    <w:rsid w:val="00125527"/>
    <w:rsid w:val="00125B68"/>
    <w:rsid w:val="0012634E"/>
    <w:rsid w:val="00126B94"/>
    <w:rsid w:val="00126FC3"/>
    <w:rsid w:val="00130F34"/>
    <w:rsid w:val="001318A5"/>
    <w:rsid w:val="00131DF7"/>
    <w:rsid w:val="001323F8"/>
    <w:rsid w:val="00132481"/>
    <w:rsid w:val="0013255B"/>
    <w:rsid w:val="00132638"/>
    <w:rsid w:val="001328AC"/>
    <w:rsid w:val="00132FFB"/>
    <w:rsid w:val="00133441"/>
    <w:rsid w:val="00133F25"/>
    <w:rsid w:val="00134057"/>
    <w:rsid w:val="00134259"/>
    <w:rsid w:val="00134540"/>
    <w:rsid w:val="00134781"/>
    <w:rsid w:val="00134E14"/>
    <w:rsid w:val="001354D2"/>
    <w:rsid w:val="00135A4D"/>
    <w:rsid w:val="0014283C"/>
    <w:rsid w:val="001430F9"/>
    <w:rsid w:val="00143285"/>
    <w:rsid w:val="0014363A"/>
    <w:rsid w:val="001448D6"/>
    <w:rsid w:val="00144A1E"/>
    <w:rsid w:val="00144C29"/>
    <w:rsid w:val="00144C42"/>
    <w:rsid w:val="00144C7A"/>
    <w:rsid w:val="00144CEF"/>
    <w:rsid w:val="00144DA0"/>
    <w:rsid w:val="0014500B"/>
    <w:rsid w:val="00145DA2"/>
    <w:rsid w:val="00145F4B"/>
    <w:rsid w:val="00145FF1"/>
    <w:rsid w:val="00146990"/>
    <w:rsid w:val="00146AC7"/>
    <w:rsid w:val="00147140"/>
    <w:rsid w:val="001504E0"/>
    <w:rsid w:val="001505F5"/>
    <w:rsid w:val="00151314"/>
    <w:rsid w:val="001516F4"/>
    <w:rsid w:val="00152247"/>
    <w:rsid w:val="001523D4"/>
    <w:rsid w:val="0015282B"/>
    <w:rsid w:val="00152B77"/>
    <w:rsid w:val="0015328A"/>
    <w:rsid w:val="001532DF"/>
    <w:rsid w:val="00153A91"/>
    <w:rsid w:val="00156525"/>
    <w:rsid w:val="00156828"/>
    <w:rsid w:val="0015719E"/>
    <w:rsid w:val="00157AAF"/>
    <w:rsid w:val="00160FB6"/>
    <w:rsid w:val="00161969"/>
    <w:rsid w:val="00162613"/>
    <w:rsid w:val="00162E3D"/>
    <w:rsid w:val="00163043"/>
    <w:rsid w:val="00163CDA"/>
    <w:rsid w:val="00165F00"/>
    <w:rsid w:val="0016613B"/>
    <w:rsid w:val="0016638B"/>
    <w:rsid w:val="00166662"/>
    <w:rsid w:val="00170764"/>
    <w:rsid w:val="00170B56"/>
    <w:rsid w:val="00171077"/>
    <w:rsid w:val="001714FA"/>
    <w:rsid w:val="00171B20"/>
    <w:rsid w:val="00172DD3"/>
    <w:rsid w:val="00173576"/>
    <w:rsid w:val="0017396F"/>
    <w:rsid w:val="00173DCE"/>
    <w:rsid w:val="00173F0C"/>
    <w:rsid w:val="00174504"/>
    <w:rsid w:val="001746CE"/>
    <w:rsid w:val="00174C59"/>
    <w:rsid w:val="00175613"/>
    <w:rsid w:val="00176DA0"/>
    <w:rsid w:val="00176F2C"/>
    <w:rsid w:val="00177E97"/>
    <w:rsid w:val="00180317"/>
    <w:rsid w:val="00180910"/>
    <w:rsid w:val="001810F3"/>
    <w:rsid w:val="001816CC"/>
    <w:rsid w:val="0018219E"/>
    <w:rsid w:val="00182860"/>
    <w:rsid w:val="001830EF"/>
    <w:rsid w:val="00183957"/>
    <w:rsid w:val="0018622C"/>
    <w:rsid w:val="00186315"/>
    <w:rsid w:val="00186E71"/>
    <w:rsid w:val="00186EFD"/>
    <w:rsid w:val="001874AA"/>
    <w:rsid w:val="001875EA"/>
    <w:rsid w:val="00187D5E"/>
    <w:rsid w:val="00190D6D"/>
    <w:rsid w:val="00190EFD"/>
    <w:rsid w:val="00191D9B"/>
    <w:rsid w:val="00192181"/>
    <w:rsid w:val="00192557"/>
    <w:rsid w:val="001931C7"/>
    <w:rsid w:val="0019373F"/>
    <w:rsid w:val="001947B5"/>
    <w:rsid w:val="00194B84"/>
    <w:rsid w:val="00195264"/>
    <w:rsid w:val="00195505"/>
    <w:rsid w:val="00195898"/>
    <w:rsid w:val="00195C6B"/>
    <w:rsid w:val="00195E8B"/>
    <w:rsid w:val="00195F35"/>
    <w:rsid w:val="00197544"/>
    <w:rsid w:val="00197BC8"/>
    <w:rsid w:val="00197DA4"/>
    <w:rsid w:val="001A0662"/>
    <w:rsid w:val="001A1492"/>
    <w:rsid w:val="001A2203"/>
    <w:rsid w:val="001A2A4C"/>
    <w:rsid w:val="001A2EA2"/>
    <w:rsid w:val="001A3B5F"/>
    <w:rsid w:val="001A3BC4"/>
    <w:rsid w:val="001A4334"/>
    <w:rsid w:val="001A4A19"/>
    <w:rsid w:val="001A4D23"/>
    <w:rsid w:val="001A53DE"/>
    <w:rsid w:val="001A6DF2"/>
    <w:rsid w:val="001A7865"/>
    <w:rsid w:val="001B100F"/>
    <w:rsid w:val="001B227E"/>
    <w:rsid w:val="001B2711"/>
    <w:rsid w:val="001B307C"/>
    <w:rsid w:val="001B3EF1"/>
    <w:rsid w:val="001B40B2"/>
    <w:rsid w:val="001B41E2"/>
    <w:rsid w:val="001B446E"/>
    <w:rsid w:val="001B472B"/>
    <w:rsid w:val="001B497A"/>
    <w:rsid w:val="001B5A37"/>
    <w:rsid w:val="001B69BA"/>
    <w:rsid w:val="001B7B83"/>
    <w:rsid w:val="001C0875"/>
    <w:rsid w:val="001C14E1"/>
    <w:rsid w:val="001C15E7"/>
    <w:rsid w:val="001C1F74"/>
    <w:rsid w:val="001C2830"/>
    <w:rsid w:val="001C2A1C"/>
    <w:rsid w:val="001C324D"/>
    <w:rsid w:val="001C3368"/>
    <w:rsid w:val="001C3371"/>
    <w:rsid w:val="001C3945"/>
    <w:rsid w:val="001C3E57"/>
    <w:rsid w:val="001C41B2"/>
    <w:rsid w:val="001C4373"/>
    <w:rsid w:val="001C4805"/>
    <w:rsid w:val="001C4C01"/>
    <w:rsid w:val="001C5425"/>
    <w:rsid w:val="001C562F"/>
    <w:rsid w:val="001C7096"/>
    <w:rsid w:val="001C73A8"/>
    <w:rsid w:val="001D0FB7"/>
    <w:rsid w:val="001D17B1"/>
    <w:rsid w:val="001D1992"/>
    <w:rsid w:val="001D1CCC"/>
    <w:rsid w:val="001D2A8F"/>
    <w:rsid w:val="001D2EE1"/>
    <w:rsid w:val="001D3164"/>
    <w:rsid w:val="001D3750"/>
    <w:rsid w:val="001D3C35"/>
    <w:rsid w:val="001D408B"/>
    <w:rsid w:val="001D4095"/>
    <w:rsid w:val="001D4303"/>
    <w:rsid w:val="001D4C24"/>
    <w:rsid w:val="001D62A3"/>
    <w:rsid w:val="001D63D8"/>
    <w:rsid w:val="001D65ED"/>
    <w:rsid w:val="001D68A4"/>
    <w:rsid w:val="001D69D3"/>
    <w:rsid w:val="001D78C6"/>
    <w:rsid w:val="001D7992"/>
    <w:rsid w:val="001E0533"/>
    <w:rsid w:val="001E1279"/>
    <w:rsid w:val="001E2E6F"/>
    <w:rsid w:val="001E4243"/>
    <w:rsid w:val="001E49ED"/>
    <w:rsid w:val="001E5697"/>
    <w:rsid w:val="001E5A59"/>
    <w:rsid w:val="001E5F57"/>
    <w:rsid w:val="001E6A00"/>
    <w:rsid w:val="001E71D4"/>
    <w:rsid w:val="001E7AD1"/>
    <w:rsid w:val="001E7DE5"/>
    <w:rsid w:val="001F07BE"/>
    <w:rsid w:val="001F09DE"/>
    <w:rsid w:val="001F2716"/>
    <w:rsid w:val="001F27B0"/>
    <w:rsid w:val="001F3772"/>
    <w:rsid w:val="001F47DF"/>
    <w:rsid w:val="001F52AD"/>
    <w:rsid w:val="001F558B"/>
    <w:rsid w:val="001F55FF"/>
    <w:rsid w:val="001F6351"/>
    <w:rsid w:val="001F6905"/>
    <w:rsid w:val="001F6F3C"/>
    <w:rsid w:val="002009DD"/>
    <w:rsid w:val="00200B6F"/>
    <w:rsid w:val="00200C60"/>
    <w:rsid w:val="002041A7"/>
    <w:rsid w:val="00205CC6"/>
    <w:rsid w:val="00205F13"/>
    <w:rsid w:val="0020616F"/>
    <w:rsid w:val="002063B5"/>
    <w:rsid w:val="0020689E"/>
    <w:rsid w:val="00206AF8"/>
    <w:rsid w:val="002070A4"/>
    <w:rsid w:val="0020746E"/>
    <w:rsid w:val="00207CC9"/>
    <w:rsid w:val="00207E47"/>
    <w:rsid w:val="00211DC3"/>
    <w:rsid w:val="00211E8E"/>
    <w:rsid w:val="00212262"/>
    <w:rsid w:val="002123EE"/>
    <w:rsid w:val="002128B3"/>
    <w:rsid w:val="0021295A"/>
    <w:rsid w:val="00212CA5"/>
    <w:rsid w:val="00212CE6"/>
    <w:rsid w:val="00213F28"/>
    <w:rsid w:val="002144EB"/>
    <w:rsid w:val="00215895"/>
    <w:rsid w:val="002161F0"/>
    <w:rsid w:val="00216201"/>
    <w:rsid w:val="00217226"/>
    <w:rsid w:val="00217692"/>
    <w:rsid w:val="002203CF"/>
    <w:rsid w:val="002204FE"/>
    <w:rsid w:val="0022072C"/>
    <w:rsid w:val="00220837"/>
    <w:rsid w:val="00220A48"/>
    <w:rsid w:val="00220D44"/>
    <w:rsid w:val="002210B3"/>
    <w:rsid w:val="00221AA9"/>
    <w:rsid w:val="0022200A"/>
    <w:rsid w:val="00222560"/>
    <w:rsid w:val="00222638"/>
    <w:rsid w:val="00222F5B"/>
    <w:rsid w:val="002230BB"/>
    <w:rsid w:val="0022351D"/>
    <w:rsid w:val="0022454C"/>
    <w:rsid w:val="00224F9B"/>
    <w:rsid w:val="002252F2"/>
    <w:rsid w:val="00225D5E"/>
    <w:rsid w:val="002261A7"/>
    <w:rsid w:val="00226482"/>
    <w:rsid w:val="00226707"/>
    <w:rsid w:val="002269EF"/>
    <w:rsid w:val="0022723B"/>
    <w:rsid w:val="0023099A"/>
    <w:rsid w:val="00230CEB"/>
    <w:rsid w:val="00231333"/>
    <w:rsid w:val="00231480"/>
    <w:rsid w:val="00231ACF"/>
    <w:rsid w:val="00231FF0"/>
    <w:rsid w:val="00232B2D"/>
    <w:rsid w:val="00232DF1"/>
    <w:rsid w:val="002337A0"/>
    <w:rsid w:val="002347C8"/>
    <w:rsid w:val="00234821"/>
    <w:rsid w:val="002352E2"/>
    <w:rsid w:val="002360AE"/>
    <w:rsid w:val="00236416"/>
    <w:rsid w:val="00236DAB"/>
    <w:rsid w:val="00237040"/>
    <w:rsid w:val="0023727B"/>
    <w:rsid w:val="002379A7"/>
    <w:rsid w:val="002401A4"/>
    <w:rsid w:val="00240396"/>
    <w:rsid w:val="00240764"/>
    <w:rsid w:val="00240929"/>
    <w:rsid w:val="00241818"/>
    <w:rsid w:val="002418BD"/>
    <w:rsid w:val="002419CD"/>
    <w:rsid w:val="00241BB1"/>
    <w:rsid w:val="00241FE2"/>
    <w:rsid w:val="00242D2B"/>
    <w:rsid w:val="00243490"/>
    <w:rsid w:val="00243A73"/>
    <w:rsid w:val="00243FEA"/>
    <w:rsid w:val="0024458B"/>
    <w:rsid w:val="00244BFE"/>
    <w:rsid w:val="00244F9C"/>
    <w:rsid w:val="0024530F"/>
    <w:rsid w:val="00245F87"/>
    <w:rsid w:val="00246190"/>
    <w:rsid w:val="0024686A"/>
    <w:rsid w:val="0024692C"/>
    <w:rsid w:val="0024698B"/>
    <w:rsid w:val="00247198"/>
    <w:rsid w:val="00250152"/>
    <w:rsid w:val="002504A0"/>
    <w:rsid w:val="0025066A"/>
    <w:rsid w:val="002512D7"/>
    <w:rsid w:val="002524D7"/>
    <w:rsid w:val="002525D6"/>
    <w:rsid w:val="002526A6"/>
    <w:rsid w:val="0025278D"/>
    <w:rsid w:val="00253769"/>
    <w:rsid w:val="002537F9"/>
    <w:rsid w:val="00253B09"/>
    <w:rsid w:val="002540CD"/>
    <w:rsid w:val="0025482C"/>
    <w:rsid w:val="00255554"/>
    <w:rsid w:val="002559EC"/>
    <w:rsid w:val="0025763E"/>
    <w:rsid w:val="002578D4"/>
    <w:rsid w:val="00260773"/>
    <w:rsid w:val="002610EB"/>
    <w:rsid w:val="00261B9E"/>
    <w:rsid w:val="0026290D"/>
    <w:rsid w:val="00262DAE"/>
    <w:rsid w:val="00262F85"/>
    <w:rsid w:val="00263A34"/>
    <w:rsid w:val="00263A5C"/>
    <w:rsid w:val="00263FB4"/>
    <w:rsid w:val="002645A6"/>
    <w:rsid w:val="00264798"/>
    <w:rsid w:val="00264934"/>
    <w:rsid w:val="00264D18"/>
    <w:rsid w:val="00265062"/>
    <w:rsid w:val="00266A9F"/>
    <w:rsid w:val="00266B23"/>
    <w:rsid w:val="00267957"/>
    <w:rsid w:val="00270A77"/>
    <w:rsid w:val="00271726"/>
    <w:rsid w:val="00271830"/>
    <w:rsid w:val="00271ACB"/>
    <w:rsid w:val="002722AF"/>
    <w:rsid w:val="002725F1"/>
    <w:rsid w:val="00272E40"/>
    <w:rsid w:val="0027320E"/>
    <w:rsid w:val="00273E62"/>
    <w:rsid w:val="0027444B"/>
    <w:rsid w:val="00274A68"/>
    <w:rsid w:val="002755E3"/>
    <w:rsid w:val="00275D7F"/>
    <w:rsid w:val="00275EC3"/>
    <w:rsid w:val="00275FBB"/>
    <w:rsid w:val="00276366"/>
    <w:rsid w:val="002769A9"/>
    <w:rsid w:val="00277187"/>
    <w:rsid w:val="00277BC9"/>
    <w:rsid w:val="002801D4"/>
    <w:rsid w:val="002801FF"/>
    <w:rsid w:val="00281282"/>
    <w:rsid w:val="00281C9D"/>
    <w:rsid w:val="00281D1F"/>
    <w:rsid w:val="0028254A"/>
    <w:rsid w:val="002828EB"/>
    <w:rsid w:val="00282983"/>
    <w:rsid w:val="00282AA1"/>
    <w:rsid w:val="00282D49"/>
    <w:rsid w:val="00283C55"/>
    <w:rsid w:val="00284B11"/>
    <w:rsid w:val="00284CA7"/>
    <w:rsid w:val="002851CF"/>
    <w:rsid w:val="0028549C"/>
    <w:rsid w:val="002856DE"/>
    <w:rsid w:val="00285C8E"/>
    <w:rsid w:val="00285CA5"/>
    <w:rsid w:val="00286378"/>
    <w:rsid w:val="00286D01"/>
    <w:rsid w:val="0028746D"/>
    <w:rsid w:val="002874BE"/>
    <w:rsid w:val="00287BC8"/>
    <w:rsid w:val="002909BF"/>
    <w:rsid w:val="00290BE3"/>
    <w:rsid w:val="00290ED5"/>
    <w:rsid w:val="00290FCF"/>
    <w:rsid w:val="002914B9"/>
    <w:rsid w:val="0029181E"/>
    <w:rsid w:val="00291CCF"/>
    <w:rsid w:val="00292A09"/>
    <w:rsid w:val="002931ED"/>
    <w:rsid w:val="0029390E"/>
    <w:rsid w:val="002940B0"/>
    <w:rsid w:val="00294566"/>
    <w:rsid w:val="0029516A"/>
    <w:rsid w:val="002969E9"/>
    <w:rsid w:val="00296E5D"/>
    <w:rsid w:val="0029722A"/>
    <w:rsid w:val="00297B43"/>
    <w:rsid w:val="00297E0B"/>
    <w:rsid w:val="002A01AE"/>
    <w:rsid w:val="002A0413"/>
    <w:rsid w:val="002A0574"/>
    <w:rsid w:val="002A11F8"/>
    <w:rsid w:val="002A149F"/>
    <w:rsid w:val="002A26B3"/>
    <w:rsid w:val="002A288A"/>
    <w:rsid w:val="002A311A"/>
    <w:rsid w:val="002A46A3"/>
    <w:rsid w:val="002A471A"/>
    <w:rsid w:val="002A47AD"/>
    <w:rsid w:val="002A5410"/>
    <w:rsid w:val="002A5E97"/>
    <w:rsid w:val="002A6689"/>
    <w:rsid w:val="002A7125"/>
    <w:rsid w:val="002A7674"/>
    <w:rsid w:val="002A7B95"/>
    <w:rsid w:val="002B071E"/>
    <w:rsid w:val="002B07EB"/>
    <w:rsid w:val="002B09B5"/>
    <w:rsid w:val="002B11B1"/>
    <w:rsid w:val="002B1739"/>
    <w:rsid w:val="002B19A2"/>
    <w:rsid w:val="002B1C64"/>
    <w:rsid w:val="002B1E22"/>
    <w:rsid w:val="002B2296"/>
    <w:rsid w:val="002B2A7B"/>
    <w:rsid w:val="002B317E"/>
    <w:rsid w:val="002B31B4"/>
    <w:rsid w:val="002B3892"/>
    <w:rsid w:val="002B39C5"/>
    <w:rsid w:val="002B3EE9"/>
    <w:rsid w:val="002B3FAD"/>
    <w:rsid w:val="002B4813"/>
    <w:rsid w:val="002B50A3"/>
    <w:rsid w:val="002B5571"/>
    <w:rsid w:val="002B60C1"/>
    <w:rsid w:val="002B60E5"/>
    <w:rsid w:val="002B6462"/>
    <w:rsid w:val="002B6972"/>
    <w:rsid w:val="002B6C12"/>
    <w:rsid w:val="002B70E8"/>
    <w:rsid w:val="002C0315"/>
    <w:rsid w:val="002C0444"/>
    <w:rsid w:val="002C053D"/>
    <w:rsid w:val="002C077D"/>
    <w:rsid w:val="002C0FF0"/>
    <w:rsid w:val="002C17D9"/>
    <w:rsid w:val="002C2BC7"/>
    <w:rsid w:val="002C2DCB"/>
    <w:rsid w:val="002C361E"/>
    <w:rsid w:val="002C3959"/>
    <w:rsid w:val="002C48D6"/>
    <w:rsid w:val="002C4A9D"/>
    <w:rsid w:val="002C53F6"/>
    <w:rsid w:val="002C5455"/>
    <w:rsid w:val="002C60BF"/>
    <w:rsid w:val="002C6190"/>
    <w:rsid w:val="002D10B5"/>
    <w:rsid w:val="002D1E3A"/>
    <w:rsid w:val="002D271C"/>
    <w:rsid w:val="002D2AE0"/>
    <w:rsid w:val="002D30B5"/>
    <w:rsid w:val="002D32C6"/>
    <w:rsid w:val="002D3D75"/>
    <w:rsid w:val="002D4059"/>
    <w:rsid w:val="002D4283"/>
    <w:rsid w:val="002D4858"/>
    <w:rsid w:val="002D4FBF"/>
    <w:rsid w:val="002D5943"/>
    <w:rsid w:val="002D5BE3"/>
    <w:rsid w:val="002D5C9F"/>
    <w:rsid w:val="002D5E7B"/>
    <w:rsid w:val="002D681D"/>
    <w:rsid w:val="002D711C"/>
    <w:rsid w:val="002D7DB2"/>
    <w:rsid w:val="002D7FD0"/>
    <w:rsid w:val="002E11B6"/>
    <w:rsid w:val="002E126F"/>
    <w:rsid w:val="002E1548"/>
    <w:rsid w:val="002E18F3"/>
    <w:rsid w:val="002E1ED3"/>
    <w:rsid w:val="002E2350"/>
    <w:rsid w:val="002E2FF6"/>
    <w:rsid w:val="002E3493"/>
    <w:rsid w:val="002E3B67"/>
    <w:rsid w:val="002E3E99"/>
    <w:rsid w:val="002E4177"/>
    <w:rsid w:val="002E56FE"/>
    <w:rsid w:val="002E596B"/>
    <w:rsid w:val="002E5C29"/>
    <w:rsid w:val="002E63ED"/>
    <w:rsid w:val="002E66B3"/>
    <w:rsid w:val="002E69F3"/>
    <w:rsid w:val="002E6B39"/>
    <w:rsid w:val="002E6B7E"/>
    <w:rsid w:val="002E7142"/>
    <w:rsid w:val="002F064E"/>
    <w:rsid w:val="002F11D2"/>
    <w:rsid w:val="002F1AEE"/>
    <w:rsid w:val="002F1D85"/>
    <w:rsid w:val="002F235F"/>
    <w:rsid w:val="002F5205"/>
    <w:rsid w:val="002F6C6E"/>
    <w:rsid w:val="002F796A"/>
    <w:rsid w:val="002F7E3A"/>
    <w:rsid w:val="003000F5"/>
    <w:rsid w:val="003003C3"/>
    <w:rsid w:val="00301440"/>
    <w:rsid w:val="00301B5F"/>
    <w:rsid w:val="0030251A"/>
    <w:rsid w:val="0030255E"/>
    <w:rsid w:val="003025F0"/>
    <w:rsid w:val="003025F3"/>
    <w:rsid w:val="00302F2D"/>
    <w:rsid w:val="00302F38"/>
    <w:rsid w:val="00303DF4"/>
    <w:rsid w:val="003044EA"/>
    <w:rsid w:val="003056D5"/>
    <w:rsid w:val="00305FD2"/>
    <w:rsid w:val="00306275"/>
    <w:rsid w:val="00306461"/>
    <w:rsid w:val="0030660D"/>
    <w:rsid w:val="00306C30"/>
    <w:rsid w:val="003076FF"/>
    <w:rsid w:val="003100EB"/>
    <w:rsid w:val="00310A38"/>
    <w:rsid w:val="00310DCE"/>
    <w:rsid w:val="0031109C"/>
    <w:rsid w:val="003112E8"/>
    <w:rsid w:val="003115C0"/>
    <w:rsid w:val="003119C1"/>
    <w:rsid w:val="00311E20"/>
    <w:rsid w:val="0031201F"/>
    <w:rsid w:val="00312219"/>
    <w:rsid w:val="00312814"/>
    <w:rsid w:val="00312AAA"/>
    <w:rsid w:val="00313A28"/>
    <w:rsid w:val="0031412B"/>
    <w:rsid w:val="00315C35"/>
    <w:rsid w:val="003168E2"/>
    <w:rsid w:val="00316B8F"/>
    <w:rsid w:val="003172B0"/>
    <w:rsid w:val="00317379"/>
    <w:rsid w:val="0031761B"/>
    <w:rsid w:val="00317F69"/>
    <w:rsid w:val="0032013B"/>
    <w:rsid w:val="00320209"/>
    <w:rsid w:val="0032033F"/>
    <w:rsid w:val="00320737"/>
    <w:rsid w:val="00320C53"/>
    <w:rsid w:val="00320D0A"/>
    <w:rsid w:val="00320DD6"/>
    <w:rsid w:val="0032184F"/>
    <w:rsid w:val="0032216A"/>
    <w:rsid w:val="0032227B"/>
    <w:rsid w:val="00322D3C"/>
    <w:rsid w:val="00323439"/>
    <w:rsid w:val="00323529"/>
    <w:rsid w:val="003237DD"/>
    <w:rsid w:val="0032446A"/>
    <w:rsid w:val="00324747"/>
    <w:rsid w:val="00324E65"/>
    <w:rsid w:val="00324F6F"/>
    <w:rsid w:val="00325500"/>
    <w:rsid w:val="00325C1E"/>
    <w:rsid w:val="00326B75"/>
    <w:rsid w:val="003275E6"/>
    <w:rsid w:val="003276E9"/>
    <w:rsid w:val="00327A3E"/>
    <w:rsid w:val="00327D5F"/>
    <w:rsid w:val="00327E31"/>
    <w:rsid w:val="0033057C"/>
    <w:rsid w:val="0033121C"/>
    <w:rsid w:val="00332225"/>
    <w:rsid w:val="00332655"/>
    <w:rsid w:val="00332A3A"/>
    <w:rsid w:val="00332E6B"/>
    <w:rsid w:val="00333A95"/>
    <w:rsid w:val="00334531"/>
    <w:rsid w:val="00334938"/>
    <w:rsid w:val="003350F2"/>
    <w:rsid w:val="0033597C"/>
    <w:rsid w:val="00335FA9"/>
    <w:rsid w:val="0033754C"/>
    <w:rsid w:val="00341394"/>
    <w:rsid w:val="0034174B"/>
    <w:rsid w:val="0034177E"/>
    <w:rsid w:val="003417EF"/>
    <w:rsid w:val="00342AD2"/>
    <w:rsid w:val="00342B3B"/>
    <w:rsid w:val="00342DFE"/>
    <w:rsid w:val="003432BC"/>
    <w:rsid w:val="00343E17"/>
    <w:rsid w:val="00343F48"/>
    <w:rsid w:val="00343F95"/>
    <w:rsid w:val="003440C8"/>
    <w:rsid w:val="003448EC"/>
    <w:rsid w:val="003448FA"/>
    <w:rsid w:val="0034540B"/>
    <w:rsid w:val="003456C7"/>
    <w:rsid w:val="00345E65"/>
    <w:rsid w:val="00346DE9"/>
    <w:rsid w:val="00347332"/>
    <w:rsid w:val="0034764D"/>
    <w:rsid w:val="003511AE"/>
    <w:rsid w:val="00351330"/>
    <w:rsid w:val="00351929"/>
    <w:rsid w:val="00351D93"/>
    <w:rsid w:val="003526CE"/>
    <w:rsid w:val="00352D6C"/>
    <w:rsid w:val="00352EC2"/>
    <w:rsid w:val="0035323F"/>
    <w:rsid w:val="00353A25"/>
    <w:rsid w:val="00354053"/>
    <w:rsid w:val="003554A4"/>
    <w:rsid w:val="003560DD"/>
    <w:rsid w:val="00356346"/>
    <w:rsid w:val="00356810"/>
    <w:rsid w:val="00356A07"/>
    <w:rsid w:val="00356C5A"/>
    <w:rsid w:val="00356CE0"/>
    <w:rsid w:val="003573ED"/>
    <w:rsid w:val="00357B8F"/>
    <w:rsid w:val="00361EA2"/>
    <w:rsid w:val="00362430"/>
    <w:rsid w:val="00362748"/>
    <w:rsid w:val="0036296A"/>
    <w:rsid w:val="00362AA8"/>
    <w:rsid w:val="0036328C"/>
    <w:rsid w:val="0036387B"/>
    <w:rsid w:val="00363925"/>
    <w:rsid w:val="0036397B"/>
    <w:rsid w:val="00363B4A"/>
    <w:rsid w:val="00363F46"/>
    <w:rsid w:val="00365112"/>
    <w:rsid w:val="00365D71"/>
    <w:rsid w:val="003665EA"/>
    <w:rsid w:val="00367539"/>
    <w:rsid w:val="00367E94"/>
    <w:rsid w:val="00367F1D"/>
    <w:rsid w:val="003705DC"/>
    <w:rsid w:val="003707A5"/>
    <w:rsid w:val="00370855"/>
    <w:rsid w:val="00370F77"/>
    <w:rsid w:val="003711D9"/>
    <w:rsid w:val="00371295"/>
    <w:rsid w:val="0037191E"/>
    <w:rsid w:val="00371E4C"/>
    <w:rsid w:val="00373B2C"/>
    <w:rsid w:val="00373E29"/>
    <w:rsid w:val="003740B8"/>
    <w:rsid w:val="00374636"/>
    <w:rsid w:val="00375545"/>
    <w:rsid w:val="00376041"/>
    <w:rsid w:val="0037611A"/>
    <w:rsid w:val="00376120"/>
    <w:rsid w:val="00376BDA"/>
    <w:rsid w:val="003770E3"/>
    <w:rsid w:val="00377196"/>
    <w:rsid w:val="003803C7"/>
    <w:rsid w:val="0038088C"/>
    <w:rsid w:val="00380AE0"/>
    <w:rsid w:val="00380BAC"/>
    <w:rsid w:val="00380E82"/>
    <w:rsid w:val="00380F57"/>
    <w:rsid w:val="0038250F"/>
    <w:rsid w:val="003829CF"/>
    <w:rsid w:val="00383DE3"/>
    <w:rsid w:val="0038428E"/>
    <w:rsid w:val="00384536"/>
    <w:rsid w:val="00384883"/>
    <w:rsid w:val="00384B7B"/>
    <w:rsid w:val="00384E4D"/>
    <w:rsid w:val="0038503F"/>
    <w:rsid w:val="00385144"/>
    <w:rsid w:val="00386C81"/>
    <w:rsid w:val="00386CC0"/>
    <w:rsid w:val="00387132"/>
    <w:rsid w:val="00387229"/>
    <w:rsid w:val="003902A3"/>
    <w:rsid w:val="0039053D"/>
    <w:rsid w:val="00390668"/>
    <w:rsid w:val="0039068D"/>
    <w:rsid w:val="00390967"/>
    <w:rsid w:val="00390FDE"/>
    <w:rsid w:val="0039129A"/>
    <w:rsid w:val="00391E4E"/>
    <w:rsid w:val="00392A97"/>
    <w:rsid w:val="00392E2F"/>
    <w:rsid w:val="00392EBE"/>
    <w:rsid w:val="00392F28"/>
    <w:rsid w:val="003937EE"/>
    <w:rsid w:val="0039421C"/>
    <w:rsid w:val="0039430E"/>
    <w:rsid w:val="00394C2E"/>
    <w:rsid w:val="00394D7D"/>
    <w:rsid w:val="003955A8"/>
    <w:rsid w:val="003964F8"/>
    <w:rsid w:val="0039670F"/>
    <w:rsid w:val="003967B3"/>
    <w:rsid w:val="00397F05"/>
    <w:rsid w:val="003A0DED"/>
    <w:rsid w:val="003A10E2"/>
    <w:rsid w:val="003A165B"/>
    <w:rsid w:val="003A319A"/>
    <w:rsid w:val="003A3EC0"/>
    <w:rsid w:val="003A3F7A"/>
    <w:rsid w:val="003A40C5"/>
    <w:rsid w:val="003A43C9"/>
    <w:rsid w:val="003A4C41"/>
    <w:rsid w:val="003A4D8D"/>
    <w:rsid w:val="003A603D"/>
    <w:rsid w:val="003A64D9"/>
    <w:rsid w:val="003A69F9"/>
    <w:rsid w:val="003A6B1F"/>
    <w:rsid w:val="003A6BE0"/>
    <w:rsid w:val="003A7339"/>
    <w:rsid w:val="003A7AC0"/>
    <w:rsid w:val="003B03B5"/>
    <w:rsid w:val="003B1B92"/>
    <w:rsid w:val="003B1CB2"/>
    <w:rsid w:val="003B2B94"/>
    <w:rsid w:val="003B3110"/>
    <w:rsid w:val="003B3E7A"/>
    <w:rsid w:val="003B45C3"/>
    <w:rsid w:val="003B4700"/>
    <w:rsid w:val="003B5261"/>
    <w:rsid w:val="003B5B18"/>
    <w:rsid w:val="003B62A8"/>
    <w:rsid w:val="003B62BB"/>
    <w:rsid w:val="003B6632"/>
    <w:rsid w:val="003B6BDF"/>
    <w:rsid w:val="003B6D13"/>
    <w:rsid w:val="003B79C7"/>
    <w:rsid w:val="003C0195"/>
    <w:rsid w:val="003C145E"/>
    <w:rsid w:val="003C19F3"/>
    <w:rsid w:val="003C25FB"/>
    <w:rsid w:val="003C335F"/>
    <w:rsid w:val="003C3AAD"/>
    <w:rsid w:val="003C3E02"/>
    <w:rsid w:val="003C3E45"/>
    <w:rsid w:val="003C40B0"/>
    <w:rsid w:val="003C4657"/>
    <w:rsid w:val="003C4ACD"/>
    <w:rsid w:val="003C51FE"/>
    <w:rsid w:val="003C5304"/>
    <w:rsid w:val="003C5333"/>
    <w:rsid w:val="003C55CE"/>
    <w:rsid w:val="003C57AC"/>
    <w:rsid w:val="003C5BB8"/>
    <w:rsid w:val="003C6286"/>
    <w:rsid w:val="003C77AF"/>
    <w:rsid w:val="003D010A"/>
    <w:rsid w:val="003D02F5"/>
    <w:rsid w:val="003D1BEF"/>
    <w:rsid w:val="003D1C0E"/>
    <w:rsid w:val="003D382E"/>
    <w:rsid w:val="003D499B"/>
    <w:rsid w:val="003D4D14"/>
    <w:rsid w:val="003D5BE9"/>
    <w:rsid w:val="003D6ABF"/>
    <w:rsid w:val="003D6D93"/>
    <w:rsid w:val="003D7063"/>
    <w:rsid w:val="003D7403"/>
    <w:rsid w:val="003E0E3E"/>
    <w:rsid w:val="003E0F5C"/>
    <w:rsid w:val="003E107C"/>
    <w:rsid w:val="003E1B44"/>
    <w:rsid w:val="003E1D46"/>
    <w:rsid w:val="003E1DEC"/>
    <w:rsid w:val="003E1E00"/>
    <w:rsid w:val="003E20DB"/>
    <w:rsid w:val="003E36E9"/>
    <w:rsid w:val="003E3B83"/>
    <w:rsid w:val="003E3D98"/>
    <w:rsid w:val="003E5984"/>
    <w:rsid w:val="003E60DE"/>
    <w:rsid w:val="003E6795"/>
    <w:rsid w:val="003F0701"/>
    <w:rsid w:val="003F09D6"/>
    <w:rsid w:val="003F211A"/>
    <w:rsid w:val="003F23B1"/>
    <w:rsid w:val="003F29BF"/>
    <w:rsid w:val="003F2F5E"/>
    <w:rsid w:val="003F43FF"/>
    <w:rsid w:val="003F5062"/>
    <w:rsid w:val="003F5863"/>
    <w:rsid w:val="003F5E2B"/>
    <w:rsid w:val="003F63F0"/>
    <w:rsid w:val="003F6755"/>
    <w:rsid w:val="003F6B44"/>
    <w:rsid w:val="003F6FFB"/>
    <w:rsid w:val="003F7811"/>
    <w:rsid w:val="003F791B"/>
    <w:rsid w:val="003F7AFF"/>
    <w:rsid w:val="004002D9"/>
    <w:rsid w:val="00400640"/>
    <w:rsid w:val="004020B4"/>
    <w:rsid w:val="004032D2"/>
    <w:rsid w:val="00403529"/>
    <w:rsid w:val="004043EB"/>
    <w:rsid w:val="00404692"/>
    <w:rsid w:val="00404892"/>
    <w:rsid w:val="00405C6C"/>
    <w:rsid w:val="00405E39"/>
    <w:rsid w:val="004065B0"/>
    <w:rsid w:val="00406F3A"/>
    <w:rsid w:val="004070C0"/>
    <w:rsid w:val="00407BB8"/>
    <w:rsid w:val="004115C9"/>
    <w:rsid w:val="004118F1"/>
    <w:rsid w:val="00411A51"/>
    <w:rsid w:val="00412E4D"/>
    <w:rsid w:val="00412E8B"/>
    <w:rsid w:val="00413135"/>
    <w:rsid w:val="004131E8"/>
    <w:rsid w:val="0041335E"/>
    <w:rsid w:val="0041371B"/>
    <w:rsid w:val="004137DE"/>
    <w:rsid w:val="00413876"/>
    <w:rsid w:val="00413B8E"/>
    <w:rsid w:val="00414040"/>
    <w:rsid w:val="0041434B"/>
    <w:rsid w:val="00414703"/>
    <w:rsid w:val="00414D07"/>
    <w:rsid w:val="004153D3"/>
    <w:rsid w:val="00415CEF"/>
    <w:rsid w:val="0041606E"/>
    <w:rsid w:val="004162CE"/>
    <w:rsid w:val="004167DB"/>
    <w:rsid w:val="00416DF7"/>
    <w:rsid w:val="00416FD0"/>
    <w:rsid w:val="004204B4"/>
    <w:rsid w:val="00420640"/>
    <w:rsid w:val="004210AD"/>
    <w:rsid w:val="00421F26"/>
    <w:rsid w:val="0042203F"/>
    <w:rsid w:val="004223C6"/>
    <w:rsid w:val="004226EA"/>
    <w:rsid w:val="00423075"/>
    <w:rsid w:val="00423280"/>
    <w:rsid w:val="004237FB"/>
    <w:rsid w:val="00423DDF"/>
    <w:rsid w:val="00423FA9"/>
    <w:rsid w:val="00424040"/>
    <w:rsid w:val="004246FC"/>
    <w:rsid w:val="00425031"/>
    <w:rsid w:val="0042519B"/>
    <w:rsid w:val="00425379"/>
    <w:rsid w:val="00425C8E"/>
    <w:rsid w:val="00425EAB"/>
    <w:rsid w:val="004264BB"/>
    <w:rsid w:val="00426C20"/>
    <w:rsid w:val="00426ED8"/>
    <w:rsid w:val="00427113"/>
    <w:rsid w:val="00427137"/>
    <w:rsid w:val="00427967"/>
    <w:rsid w:val="00427A32"/>
    <w:rsid w:val="00427C50"/>
    <w:rsid w:val="00427E2D"/>
    <w:rsid w:val="00427F36"/>
    <w:rsid w:val="004308C4"/>
    <w:rsid w:val="004330D1"/>
    <w:rsid w:val="00433534"/>
    <w:rsid w:val="004355B7"/>
    <w:rsid w:val="00435645"/>
    <w:rsid w:val="00436719"/>
    <w:rsid w:val="00436CA5"/>
    <w:rsid w:val="00437B3D"/>
    <w:rsid w:val="00437EE6"/>
    <w:rsid w:val="00440074"/>
    <w:rsid w:val="00440675"/>
    <w:rsid w:val="00440835"/>
    <w:rsid w:val="00440A5E"/>
    <w:rsid w:val="00440F4E"/>
    <w:rsid w:val="00441984"/>
    <w:rsid w:val="00441AF2"/>
    <w:rsid w:val="00441D21"/>
    <w:rsid w:val="00442596"/>
    <w:rsid w:val="0044282B"/>
    <w:rsid w:val="00442BDA"/>
    <w:rsid w:val="00442C0B"/>
    <w:rsid w:val="00442FDB"/>
    <w:rsid w:val="0044344E"/>
    <w:rsid w:val="004443D2"/>
    <w:rsid w:val="004444B1"/>
    <w:rsid w:val="00444550"/>
    <w:rsid w:val="00444602"/>
    <w:rsid w:val="004453FA"/>
    <w:rsid w:val="00445419"/>
    <w:rsid w:val="00445FFE"/>
    <w:rsid w:val="0044689A"/>
    <w:rsid w:val="00447D68"/>
    <w:rsid w:val="00447E45"/>
    <w:rsid w:val="00447F08"/>
    <w:rsid w:val="00451D2D"/>
    <w:rsid w:val="00451D89"/>
    <w:rsid w:val="00452B44"/>
    <w:rsid w:val="00453AB0"/>
    <w:rsid w:val="00453CBA"/>
    <w:rsid w:val="0045543A"/>
    <w:rsid w:val="0045587C"/>
    <w:rsid w:val="00455C3C"/>
    <w:rsid w:val="00456FD1"/>
    <w:rsid w:val="00456FE0"/>
    <w:rsid w:val="0045795A"/>
    <w:rsid w:val="00457E1E"/>
    <w:rsid w:val="004602F9"/>
    <w:rsid w:val="00460A90"/>
    <w:rsid w:val="00460CFD"/>
    <w:rsid w:val="00460E49"/>
    <w:rsid w:val="004622D5"/>
    <w:rsid w:val="004627FC"/>
    <w:rsid w:val="00463FA5"/>
    <w:rsid w:val="004645D0"/>
    <w:rsid w:val="004648CC"/>
    <w:rsid w:val="004648E0"/>
    <w:rsid w:val="004649D0"/>
    <w:rsid w:val="00465168"/>
    <w:rsid w:val="0046533C"/>
    <w:rsid w:val="00465DF3"/>
    <w:rsid w:val="004660A4"/>
    <w:rsid w:val="00466547"/>
    <w:rsid w:val="00466859"/>
    <w:rsid w:val="00466898"/>
    <w:rsid w:val="00466FD7"/>
    <w:rsid w:val="0046700A"/>
    <w:rsid w:val="0046759F"/>
    <w:rsid w:val="00467C62"/>
    <w:rsid w:val="004703AD"/>
    <w:rsid w:val="00470707"/>
    <w:rsid w:val="004709DF"/>
    <w:rsid w:val="00470B46"/>
    <w:rsid w:val="00471166"/>
    <w:rsid w:val="004714A2"/>
    <w:rsid w:val="00471933"/>
    <w:rsid w:val="00471CC9"/>
    <w:rsid w:val="00471FA6"/>
    <w:rsid w:val="004727D1"/>
    <w:rsid w:val="00472C4F"/>
    <w:rsid w:val="00472CED"/>
    <w:rsid w:val="0047323E"/>
    <w:rsid w:val="00473450"/>
    <w:rsid w:val="004737D9"/>
    <w:rsid w:val="00474FD1"/>
    <w:rsid w:val="00475B39"/>
    <w:rsid w:val="00476018"/>
    <w:rsid w:val="00476A53"/>
    <w:rsid w:val="00477938"/>
    <w:rsid w:val="00477B69"/>
    <w:rsid w:val="00480D18"/>
    <w:rsid w:val="004824B7"/>
    <w:rsid w:val="0048285C"/>
    <w:rsid w:val="004828F5"/>
    <w:rsid w:val="004831A5"/>
    <w:rsid w:val="00483998"/>
    <w:rsid w:val="004848B7"/>
    <w:rsid w:val="00484C58"/>
    <w:rsid w:val="00484FA4"/>
    <w:rsid w:val="004861B6"/>
    <w:rsid w:val="004864EE"/>
    <w:rsid w:val="00487032"/>
    <w:rsid w:val="004870D9"/>
    <w:rsid w:val="00487FD3"/>
    <w:rsid w:val="004906FA"/>
    <w:rsid w:val="0049206B"/>
    <w:rsid w:val="00492304"/>
    <w:rsid w:val="0049237D"/>
    <w:rsid w:val="00492569"/>
    <w:rsid w:val="00492CF3"/>
    <w:rsid w:val="00492E86"/>
    <w:rsid w:val="004938AF"/>
    <w:rsid w:val="00493ACB"/>
    <w:rsid w:val="004940B2"/>
    <w:rsid w:val="00494325"/>
    <w:rsid w:val="00494DEA"/>
    <w:rsid w:val="00494DF5"/>
    <w:rsid w:val="00495518"/>
    <w:rsid w:val="004964D3"/>
    <w:rsid w:val="00497962"/>
    <w:rsid w:val="004A061B"/>
    <w:rsid w:val="004A1493"/>
    <w:rsid w:val="004A1CBE"/>
    <w:rsid w:val="004A1F28"/>
    <w:rsid w:val="004A250D"/>
    <w:rsid w:val="004A417C"/>
    <w:rsid w:val="004A472F"/>
    <w:rsid w:val="004A487F"/>
    <w:rsid w:val="004A5BC5"/>
    <w:rsid w:val="004A6B0E"/>
    <w:rsid w:val="004A7222"/>
    <w:rsid w:val="004A7E2A"/>
    <w:rsid w:val="004B12ED"/>
    <w:rsid w:val="004B18EE"/>
    <w:rsid w:val="004B1D05"/>
    <w:rsid w:val="004B22AF"/>
    <w:rsid w:val="004B305A"/>
    <w:rsid w:val="004B328F"/>
    <w:rsid w:val="004B32BA"/>
    <w:rsid w:val="004B3827"/>
    <w:rsid w:val="004B68BD"/>
    <w:rsid w:val="004B6EF6"/>
    <w:rsid w:val="004B7A61"/>
    <w:rsid w:val="004C02DD"/>
    <w:rsid w:val="004C0C22"/>
    <w:rsid w:val="004C0FEB"/>
    <w:rsid w:val="004C11E3"/>
    <w:rsid w:val="004C19C5"/>
    <w:rsid w:val="004C1BC9"/>
    <w:rsid w:val="004C256A"/>
    <w:rsid w:val="004C2AFF"/>
    <w:rsid w:val="004C3870"/>
    <w:rsid w:val="004C42A5"/>
    <w:rsid w:val="004C45A5"/>
    <w:rsid w:val="004C4EF3"/>
    <w:rsid w:val="004C5202"/>
    <w:rsid w:val="004C55D2"/>
    <w:rsid w:val="004C56A8"/>
    <w:rsid w:val="004C6223"/>
    <w:rsid w:val="004C6584"/>
    <w:rsid w:val="004C6F00"/>
    <w:rsid w:val="004C7340"/>
    <w:rsid w:val="004C7362"/>
    <w:rsid w:val="004D08DC"/>
    <w:rsid w:val="004D184B"/>
    <w:rsid w:val="004D2556"/>
    <w:rsid w:val="004D360B"/>
    <w:rsid w:val="004D3827"/>
    <w:rsid w:val="004D4239"/>
    <w:rsid w:val="004D592C"/>
    <w:rsid w:val="004D5F8B"/>
    <w:rsid w:val="004D66D7"/>
    <w:rsid w:val="004D6715"/>
    <w:rsid w:val="004D6957"/>
    <w:rsid w:val="004E012D"/>
    <w:rsid w:val="004E0B5A"/>
    <w:rsid w:val="004E1620"/>
    <w:rsid w:val="004E2199"/>
    <w:rsid w:val="004E38B2"/>
    <w:rsid w:val="004E3B86"/>
    <w:rsid w:val="004E42F5"/>
    <w:rsid w:val="004E46BC"/>
    <w:rsid w:val="004E4701"/>
    <w:rsid w:val="004E4EBE"/>
    <w:rsid w:val="004E60AB"/>
    <w:rsid w:val="004E66F0"/>
    <w:rsid w:val="004E6A31"/>
    <w:rsid w:val="004E6B83"/>
    <w:rsid w:val="004E72C7"/>
    <w:rsid w:val="004E77EB"/>
    <w:rsid w:val="004E7944"/>
    <w:rsid w:val="004E7CE8"/>
    <w:rsid w:val="004E7D94"/>
    <w:rsid w:val="004F133B"/>
    <w:rsid w:val="004F243B"/>
    <w:rsid w:val="004F2518"/>
    <w:rsid w:val="004F2552"/>
    <w:rsid w:val="004F268D"/>
    <w:rsid w:val="004F3C17"/>
    <w:rsid w:val="004F40C8"/>
    <w:rsid w:val="004F474F"/>
    <w:rsid w:val="004F479A"/>
    <w:rsid w:val="004F4E21"/>
    <w:rsid w:val="004F57C9"/>
    <w:rsid w:val="004F640E"/>
    <w:rsid w:val="00500426"/>
    <w:rsid w:val="00501E33"/>
    <w:rsid w:val="00502F4B"/>
    <w:rsid w:val="00502FE1"/>
    <w:rsid w:val="00503434"/>
    <w:rsid w:val="00503A3B"/>
    <w:rsid w:val="00504205"/>
    <w:rsid w:val="0050437E"/>
    <w:rsid w:val="005044D3"/>
    <w:rsid w:val="005051F0"/>
    <w:rsid w:val="00505703"/>
    <w:rsid w:val="0050573A"/>
    <w:rsid w:val="00505D6B"/>
    <w:rsid w:val="005072B0"/>
    <w:rsid w:val="00507D7B"/>
    <w:rsid w:val="00507F2D"/>
    <w:rsid w:val="00510897"/>
    <w:rsid w:val="0051097E"/>
    <w:rsid w:val="005113E3"/>
    <w:rsid w:val="005115CE"/>
    <w:rsid w:val="00513E77"/>
    <w:rsid w:val="005147E2"/>
    <w:rsid w:val="00514A01"/>
    <w:rsid w:val="00514F68"/>
    <w:rsid w:val="00515F38"/>
    <w:rsid w:val="00516A93"/>
    <w:rsid w:val="00520D50"/>
    <w:rsid w:val="005213E6"/>
    <w:rsid w:val="0052195E"/>
    <w:rsid w:val="00522C84"/>
    <w:rsid w:val="005236C2"/>
    <w:rsid w:val="005237CD"/>
    <w:rsid w:val="00523F59"/>
    <w:rsid w:val="0052489F"/>
    <w:rsid w:val="005250D8"/>
    <w:rsid w:val="005270B7"/>
    <w:rsid w:val="0052722F"/>
    <w:rsid w:val="00527406"/>
    <w:rsid w:val="005307CB"/>
    <w:rsid w:val="0053130B"/>
    <w:rsid w:val="005317B5"/>
    <w:rsid w:val="00531DE2"/>
    <w:rsid w:val="00532226"/>
    <w:rsid w:val="00534C95"/>
    <w:rsid w:val="00536A41"/>
    <w:rsid w:val="00536DDF"/>
    <w:rsid w:val="005371B0"/>
    <w:rsid w:val="00537CD4"/>
    <w:rsid w:val="00537E5E"/>
    <w:rsid w:val="00540216"/>
    <w:rsid w:val="0054075F"/>
    <w:rsid w:val="00540BC9"/>
    <w:rsid w:val="00540DFB"/>
    <w:rsid w:val="0054172F"/>
    <w:rsid w:val="005417AD"/>
    <w:rsid w:val="00541FF8"/>
    <w:rsid w:val="0054288D"/>
    <w:rsid w:val="005429B0"/>
    <w:rsid w:val="00543C26"/>
    <w:rsid w:val="005442FE"/>
    <w:rsid w:val="00544964"/>
    <w:rsid w:val="00544CB4"/>
    <w:rsid w:val="005451A4"/>
    <w:rsid w:val="00545CD9"/>
    <w:rsid w:val="0054617C"/>
    <w:rsid w:val="005470B8"/>
    <w:rsid w:val="00550095"/>
    <w:rsid w:val="00550491"/>
    <w:rsid w:val="005504F8"/>
    <w:rsid w:val="005508B8"/>
    <w:rsid w:val="00551CCA"/>
    <w:rsid w:val="005525A7"/>
    <w:rsid w:val="0055285F"/>
    <w:rsid w:val="00552942"/>
    <w:rsid w:val="005536BA"/>
    <w:rsid w:val="0055383C"/>
    <w:rsid w:val="00553BB2"/>
    <w:rsid w:val="00554D16"/>
    <w:rsid w:val="00555D86"/>
    <w:rsid w:val="0055609B"/>
    <w:rsid w:val="005568A3"/>
    <w:rsid w:val="0056058E"/>
    <w:rsid w:val="00561089"/>
    <w:rsid w:val="005619A4"/>
    <w:rsid w:val="00562254"/>
    <w:rsid w:val="005628F3"/>
    <w:rsid w:val="00562A7D"/>
    <w:rsid w:val="00563179"/>
    <w:rsid w:val="00564120"/>
    <w:rsid w:val="0056499D"/>
    <w:rsid w:val="0056532D"/>
    <w:rsid w:val="005655DF"/>
    <w:rsid w:val="005655F3"/>
    <w:rsid w:val="00565620"/>
    <w:rsid w:val="00570F3F"/>
    <w:rsid w:val="005711ED"/>
    <w:rsid w:val="00572C88"/>
    <w:rsid w:val="005734C9"/>
    <w:rsid w:val="00573BF1"/>
    <w:rsid w:val="00573F16"/>
    <w:rsid w:val="005743EC"/>
    <w:rsid w:val="00574417"/>
    <w:rsid w:val="00574A3A"/>
    <w:rsid w:val="00574D1A"/>
    <w:rsid w:val="00575471"/>
    <w:rsid w:val="00575585"/>
    <w:rsid w:val="00575DAB"/>
    <w:rsid w:val="00576B3D"/>
    <w:rsid w:val="00576B75"/>
    <w:rsid w:val="00576B78"/>
    <w:rsid w:val="005776B0"/>
    <w:rsid w:val="00581D24"/>
    <w:rsid w:val="00582295"/>
    <w:rsid w:val="00582455"/>
    <w:rsid w:val="00582486"/>
    <w:rsid w:val="00582C89"/>
    <w:rsid w:val="00583040"/>
    <w:rsid w:val="0058376B"/>
    <w:rsid w:val="00583C01"/>
    <w:rsid w:val="005840F7"/>
    <w:rsid w:val="00584326"/>
    <w:rsid w:val="00584378"/>
    <w:rsid w:val="0058437A"/>
    <w:rsid w:val="00585A46"/>
    <w:rsid w:val="00585A7A"/>
    <w:rsid w:val="005860E4"/>
    <w:rsid w:val="00586235"/>
    <w:rsid w:val="005863E4"/>
    <w:rsid w:val="00586698"/>
    <w:rsid w:val="005866E3"/>
    <w:rsid w:val="00586C14"/>
    <w:rsid w:val="00587040"/>
    <w:rsid w:val="0059050B"/>
    <w:rsid w:val="00591605"/>
    <w:rsid w:val="00591645"/>
    <w:rsid w:val="00591C83"/>
    <w:rsid w:val="00591DD9"/>
    <w:rsid w:val="00592F15"/>
    <w:rsid w:val="005935B3"/>
    <w:rsid w:val="00593C3D"/>
    <w:rsid w:val="00594558"/>
    <w:rsid w:val="00594DDF"/>
    <w:rsid w:val="00595117"/>
    <w:rsid w:val="00595494"/>
    <w:rsid w:val="0059573C"/>
    <w:rsid w:val="005960B7"/>
    <w:rsid w:val="00596BD0"/>
    <w:rsid w:val="00597043"/>
    <w:rsid w:val="005971E2"/>
    <w:rsid w:val="005972A9"/>
    <w:rsid w:val="00597496"/>
    <w:rsid w:val="005A0555"/>
    <w:rsid w:val="005A0A15"/>
    <w:rsid w:val="005A1131"/>
    <w:rsid w:val="005A23BD"/>
    <w:rsid w:val="005A28C9"/>
    <w:rsid w:val="005A2A5C"/>
    <w:rsid w:val="005A30E2"/>
    <w:rsid w:val="005A39F2"/>
    <w:rsid w:val="005A52C0"/>
    <w:rsid w:val="005A5980"/>
    <w:rsid w:val="005A65D9"/>
    <w:rsid w:val="005A750B"/>
    <w:rsid w:val="005A7670"/>
    <w:rsid w:val="005A7877"/>
    <w:rsid w:val="005A795A"/>
    <w:rsid w:val="005A7C2D"/>
    <w:rsid w:val="005A7CBD"/>
    <w:rsid w:val="005B02B4"/>
    <w:rsid w:val="005B1136"/>
    <w:rsid w:val="005B136F"/>
    <w:rsid w:val="005B18C0"/>
    <w:rsid w:val="005B202D"/>
    <w:rsid w:val="005B23A7"/>
    <w:rsid w:val="005B29A7"/>
    <w:rsid w:val="005B3442"/>
    <w:rsid w:val="005B358A"/>
    <w:rsid w:val="005B3CDC"/>
    <w:rsid w:val="005B3FBB"/>
    <w:rsid w:val="005B561C"/>
    <w:rsid w:val="005B5CE6"/>
    <w:rsid w:val="005B61F4"/>
    <w:rsid w:val="005B63C2"/>
    <w:rsid w:val="005B6BAC"/>
    <w:rsid w:val="005B6D0B"/>
    <w:rsid w:val="005B7489"/>
    <w:rsid w:val="005C03E0"/>
    <w:rsid w:val="005C0574"/>
    <w:rsid w:val="005C0ADA"/>
    <w:rsid w:val="005C1147"/>
    <w:rsid w:val="005C1A9E"/>
    <w:rsid w:val="005C33BA"/>
    <w:rsid w:val="005C3A3D"/>
    <w:rsid w:val="005C3AC1"/>
    <w:rsid w:val="005C3AEA"/>
    <w:rsid w:val="005C3FF2"/>
    <w:rsid w:val="005C46D0"/>
    <w:rsid w:val="005C49F4"/>
    <w:rsid w:val="005C4AAF"/>
    <w:rsid w:val="005C4B28"/>
    <w:rsid w:val="005C5A30"/>
    <w:rsid w:val="005C5C94"/>
    <w:rsid w:val="005C624D"/>
    <w:rsid w:val="005C73A2"/>
    <w:rsid w:val="005D017A"/>
    <w:rsid w:val="005D02E4"/>
    <w:rsid w:val="005D1A21"/>
    <w:rsid w:val="005D1DAC"/>
    <w:rsid w:val="005D24E1"/>
    <w:rsid w:val="005D2762"/>
    <w:rsid w:val="005D284D"/>
    <w:rsid w:val="005D2B30"/>
    <w:rsid w:val="005D35A3"/>
    <w:rsid w:val="005D36B6"/>
    <w:rsid w:val="005D3CB9"/>
    <w:rsid w:val="005D4027"/>
    <w:rsid w:val="005D50A1"/>
    <w:rsid w:val="005D61D1"/>
    <w:rsid w:val="005D639B"/>
    <w:rsid w:val="005D72CA"/>
    <w:rsid w:val="005E05BA"/>
    <w:rsid w:val="005E0E7C"/>
    <w:rsid w:val="005E1110"/>
    <w:rsid w:val="005E126D"/>
    <w:rsid w:val="005E149B"/>
    <w:rsid w:val="005E292D"/>
    <w:rsid w:val="005E2EA9"/>
    <w:rsid w:val="005E30E1"/>
    <w:rsid w:val="005E3946"/>
    <w:rsid w:val="005E3D7D"/>
    <w:rsid w:val="005E3E23"/>
    <w:rsid w:val="005E5A32"/>
    <w:rsid w:val="005E5AB2"/>
    <w:rsid w:val="005E5FA0"/>
    <w:rsid w:val="005E720F"/>
    <w:rsid w:val="005E7C94"/>
    <w:rsid w:val="005E7D5C"/>
    <w:rsid w:val="005F0552"/>
    <w:rsid w:val="005F088D"/>
    <w:rsid w:val="005F1282"/>
    <w:rsid w:val="005F14A2"/>
    <w:rsid w:val="005F223E"/>
    <w:rsid w:val="005F2DC9"/>
    <w:rsid w:val="005F2FBE"/>
    <w:rsid w:val="005F3862"/>
    <w:rsid w:val="005F4212"/>
    <w:rsid w:val="005F46B5"/>
    <w:rsid w:val="005F6260"/>
    <w:rsid w:val="00600FD9"/>
    <w:rsid w:val="006014DB"/>
    <w:rsid w:val="00601607"/>
    <w:rsid w:val="00601B88"/>
    <w:rsid w:val="006021A7"/>
    <w:rsid w:val="006025FD"/>
    <w:rsid w:val="006027E4"/>
    <w:rsid w:val="00602866"/>
    <w:rsid w:val="0060403C"/>
    <w:rsid w:val="00604392"/>
    <w:rsid w:val="006043F1"/>
    <w:rsid w:val="00604DCA"/>
    <w:rsid w:val="006062B7"/>
    <w:rsid w:val="0060686E"/>
    <w:rsid w:val="00606D4E"/>
    <w:rsid w:val="00610A5A"/>
    <w:rsid w:val="0061100C"/>
    <w:rsid w:val="00611395"/>
    <w:rsid w:val="00611F37"/>
    <w:rsid w:val="0061277B"/>
    <w:rsid w:val="006133DB"/>
    <w:rsid w:val="00613775"/>
    <w:rsid w:val="006138BC"/>
    <w:rsid w:val="00613F8C"/>
    <w:rsid w:val="006142AC"/>
    <w:rsid w:val="006148B1"/>
    <w:rsid w:val="00615B3D"/>
    <w:rsid w:val="006160EB"/>
    <w:rsid w:val="00616245"/>
    <w:rsid w:val="0061628A"/>
    <w:rsid w:val="00616469"/>
    <w:rsid w:val="00616FC3"/>
    <w:rsid w:val="006176FD"/>
    <w:rsid w:val="00617A40"/>
    <w:rsid w:val="00617E01"/>
    <w:rsid w:val="00620BC3"/>
    <w:rsid w:val="00620CB2"/>
    <w:rsid w:val="006227E2"/>
    <w:rsid w:val="00622BCD"/>
    <w:rsid w:val="00622D02"/>
    <w:rsid w:val="00623061"/>
    <w:rsid w:val="006230AD"/>
    <w:rsid w:val="00623688"/>
    <w:rsid w:val="00623CE5"/>
    <w:rsid w:val="00624467"/>
    <w:rsid w:val="00624631"/>
    <w:rsid w:val="006253FE"/>
    <w:rsid w:val="00625535"/>
    <w:rsid w:val="00625667"/>
    <w:rsid w:val="0062664E"/>
    <w:rsid w:val="0062710C"/>
    <w:rsid w:val="0062759B"/>
    <w:rsid w:val="00627F58"/>
    <w:rsid w:val="0063072B"/>
    <w:rsid w:val="006309DF"/>
    <w:rsid w:val="00630D21"/>
    <w:rsid w:val="006323CD"/>
    <w:rsid w:val="00633B2F"/>
    <w:rsid w:val="00633C98"/>
    <w:rsid w:val="00633F04"/>
    <w:rsid w:val="006341A7"/>
    <w:rsid w:val="00634574"/>
    <w:rsid w:val="00634E4A"/>
    <w:rsid w:val="00635544"/>
    <w:rsid w:val="00636319"/>
    <w:rsid w:val="00637550"/>
    <w:rsid w:val="006377AC"/>
    <w:rsid w:val="00637E32"/>
    <w:rsid w:val="00637EA8"/>
    <w:rsid w:val="00640383"/>
    <w:rsid w:val="006408D0"/>
    <w:rsid w:val="00640F47"/>
    <w:rsid w:val="0064107D"/>
    <w:rsid w:val="00641518"/>
    <w:rsid w:val="00641DF2"/>
    <w:rsid w:val="00641F66"/>
    <w:rsid w:val="006427E9"/>
    <w:rsid w:val="00642A57"/>
    <w:rsid w:val="00642A79"/>
    <w:rsid w:val="006433DC"/>
    <w:rsid w:val="0064357F"/>
    <w:rsid w:val="00643B22"/>
    <w:rsid w:val="00644CC0"/>
    <w:rsid w:val="00644EA1"/>
    <w:rsid w:val="00645A35"/>
    <w:rsid w:val="00645E47"/>
    <w:rsid w:val="00645F9C"/>
    <w:rsid w:val="006466AC"/>
    <w:rsid w:val="006505D1"/>
    <w:rsid w:val="0065081C"/>
    <w:rsid w:val="006511A3"/>
    <w:rsid w:val="0065121D"/>
    <w:rsid w:val="006516CB"/>
    <w:rsid w:val="0065261F"/>
    <w:rsid w:val="006527F5"/>
    <w:rsid w:val="00652B4D"/>
    <w:rsid w:val="006539DF"/>
    <w:rsid w:val="00654183"/>
    <w:rsid w:val="006546BB"/>
    <w:rsid w:val="006550B7"/>
    <w:rsid w:val="00655791"/>
    <w:rsid w:val="00656971"/>
    <w:rsid w:val="00656A80"/>
    <w:rsid w:val="00656BA7"/>
    <w:rsid w:val="006604AA"/>
    <w:rsid w:val="006609FA"/>
    <w:rsid w:val="00660DFE"/>
    <w:rsid w:val="00660F30"/>
    <w:rsid w:val="00660F46"/>
    <w:rsid w:val="0066110C"/>
    <w:rsid w:val="00661383"/>
    <w:rsid w:val="00661973"/>
    <w:rsid w:val="00661E9E"/>
    <w:rsid w:val="00662F6D"/>
    <w:rsid w:val="00663309"/>
    <w:rsid w:val="00663E66"/>
    <w:rsid w:val="006642F8"/>
    <w:rsid w:val="006647C7"/>
    <w:rsid w:val="00666E9A"/>
    <w:rsid w:val="0066763C"/>
    <w:rsid w:val="00667C08"/>
    <w:rsid w:val="006704A6"/>
    <w:rsid w:val="00670E68"/>
    <w:rsid w:val="0067291A"/>
    <w:rsid w:val="00672D14"/>
    <w:rsid w:val="006732AC"/>
    <w:rsid w:val="00674726"/>
    <w:rsid w:val="006748D7"/>
    <w:rsid w:val="00675869"/>
    <w:rsid w:val="0067597B"/>
    <w:rsid w:val="00675AA2"/>
    <w:rsid w:val="00675B76"/>
    <w:rsid w:val="00675C70"/>
    <w:rsid w:val="006765DD"/>
    <w:rsid w:val="00676889"/>
    <w:rsid w:val="00676B0E"/>
    <w:rsid w:val="00677CE8"/>
    <w:rsid w:val="00677D86"/>
    <w:rsid w:val="006800B2"/>
    <w:rsid w:val="006802BC"/>
    <w:rsid w:val="0068059A"/>
    <w:rsid w:val="006805AB"/>
    <w:rsid w:val="00680782"/>
    <w:rsid w:val="0068157B"/>
    <w:rsid w:val="006817B6"/>
    <w:rsid w:val="006819C6"/>
    <w:rsid w:val="00681A86"/>
    <w:rsid w:val="00683283"/>
    <w:rsid w:val="00683AE0"/>
    <w:rsid w:val="00683CD6"/>
    <w:rsid w:val="00684587"/>
    <w:rsid w:val="00684FA4"/>
    <w:rsid w:val="006858D2"/>
    <w:rsid w:val="00686B85"/>
    <w:rsid w:val="00690452"/>
    <w:rsid w:val="006914A6"/>
    <w:rsid w:val="00691C18"/>
    <w:rsid w:val="00692219"/>
    <w:rsid w:val="0069237F"/>
    <w:rsid w:val="00692D73"/>
    <w:rsid w:val="00692F71"/>
    <w:rsid w:val="00693073"/>
    <w:rsid w:val="0069364A"/>
    <w:rsid w:val="00693713"/>
    <w:rsid w:val="006937C9"/>
    <w:rsid w:val="00694029"/>
    <w:rsid w:val="00694584"/>
    <w:rsid w:val="00694E3B"/>
    <w:rsid w:val="00695D3C"/>
    <w:rsid w:val="006968A9"/>
    <w:rsid w:val="00696B40"/>
    <w:rsid w:val="006970D1"/>
    <w:rsid w:val="006976A3"/>
    <w:rsid w:val="0069775B"/>
    <w:rsid w:val="00697DE3"/>
    <w:rsid w:val="006A0B21"/>
    <w:rsid w:val="006A0C71"/>
    <w:rsid w:val="006A0EE2"/>
    <w:rsid w:val="006A165E"/>
    <w:rsid w:val="006A1BCC"/>
    <w:rsid w:val="006A20F2"/>
    <w:rsid w:val="006A2E05"/>
    <w:rsid w:val="006A34A6"/>
    <w:rsid w:val="006A3B49"/>
    <w:rsid w:val="006A3BC8"/>
    <w:rsid w:val="006A3C60"/>
    <w:rsid w:val="006A416C"/>
    <w:rsid w:val="006A438F"/>
    <w:rsid w:val="006A4B2A"/>
    <w:rsid w:val="006A5181"/>
    <w:rsid w:val="006A5838"/>
    <w:rsid w:val="006B1034"/>
    <w:rsid w:val="006B2CDF"/>
    <w:rsid w:val="006B3438"/>
    <w:rsid w:val="006B357D"/>
    <w:rsid w:val="006B38A4"/>
    <w:rsid w:val="006B3B24"/>
    <w:rsid w:val="006B3DC4"/>
    <w:rsid w:val="006B47F7"/>
    <w:rsid w:val="006B5275"/>
    <w:rsid w:val="006B568D"/>
    <w:rsid w:val="006B5C06"/>
    <w:rsid w:val="006B5DCA"/>
    <w:rsid w:val="006B5E3F"/>
    <w:rsid w:val="006B60F0"/>
    <w:rsid w:val="006B6277"/>
    <w:rsid w:val="006B6547"/>
    <w:rsid w:val="006B67BD"/>
    <w:rsid w:val="006B6FB2"/>
    <w:rsid w:val="006B7020"/>
    <w:rsid w:val="006B7198"/>
    <w:rsid w:val="006B7BFB"/>
    <w:rsid w:val="006B7C2C"/>
    <w:rsid w:val="006C04DA"/>
    <w:rsid w:val="006C05DE"/>
    <w:rsid w:val="006C06D9"/>
    <w:rsid w:val="006C0838"/>
    <w:rsid w:val="006C0ABF"/>
    <w:rsid w:val="006C0CFB"/>
    <w:rsid w:val="006C1BA6"/>
    <w:rsid w:val="006C2970"/>
    <w:rsid w:val="006C2AAB"/>
    <w:rsid w:val="006C2BF5"/>
    <w:rsid w:val="006C322D"/>
    <w:rsid w:val="006C4287"/>
    <w:rsid w:val="006C4656"/>
    <w:rsid w:val="006C5B5A"/>
    <w:rsid w:val="006C5B96"/>
    <w:rsid w:val="006C639C"/>
    <w:rsid w:val="006C72BD"/>
    <w:rsid w:val="006C73F2"/>
    <w:rsid w:val="006D120A"/>
    <w:rsid w:val="006D168B"/>
    <w:rsid w:val="006D2148"/>
    <w:rsid w:val="006D22DD"/>
    <w:rsid w:val="006D2307"/>
    <w:rsid w:val="006D2791"/>
    <w:rsid w:val="006D2E3E"/>
    <w:rsid w:val="006D2F59"/>
    <w:rsid w:val="006D4C39"/>
    <w:rsid w:val="006D4FCA"/>
    <w:rsid w:val="006D5A33"/>
    <w:rsid w:val="006D5DCF"/>
    <w:rsid w:val="006D5E8B"/>
    <w:rsid w:val="006D739E"/>
    <w:rsid w:val="006D7A08"/>
    <w:rsid w:val="006D7A27"/>
    <w:rsid w:val="006D7CA7"/>
    <w:rsid w:val="006E1A4D"/>
    <w:rsid w:val="006E26AC"/>
    <w:rsid w:val="006E47E6"/>
    <w:rsid w:val="006E47F2"/>
    <w:rsid w:val="006E4C1D"/>
    <w:rsid w:val="006E5359"/>
    <w:rsid w:val="006E54A5"/>
    <w:rsid w:val="006E56ED"/>
    <w:rsid w:val="006E590E"/>
    <w:rsid w:val="006E640A"/>
    <w:rsid w:val="006E655E"/>
    <w:rsid w:val="006E65F8"/>
    <w:rsid w:val="006E69AE"/>
    <w:rsid w:val="006F057F"/>
    <w:rsid w:val="006F09EE"/>
    <w:rsid w:val="006F0CCC"/>
    <w:rsid w:val="006F18AE"/>
    <w:rsid w:val="006F2122"/>
    <w:rsid w:val="006F2A9A"/>
    <w:rsid w:val="006F3102"/>
    <w:rsid w:val="006F3517"/>
    <w:rsid w:val="006F3C8B"/>
    <w:rsid w:val="006F4847"/>
    <w:rsid w:val="006F53D9"/>
    <w:rsid w:val="006F5D36"/>
    <w:rsid w:val="006F5D4E"/>
    <w:rsid w:val="006F6D3A"/>
    <w:rsid w:val="006F72BA"/>
    <w:rsid w:val="006F7CFF"/>
    <w:rsid w:val="00701515"/>
    <w:rsid w:val="00701BDC"/>
    <w:rsid w:val="00702839"/>
    <w:rsid w:val="00702CF0"/>
    <w:rsid w:val="00703997"/>
    <w:rsid w:val="007039D1"/>
    <w:rsid w:val="00703D97"/>
    <w:rsid w:val="00704014"/>
    <w:rsid w:val="007049CF"/>
    <w:rsid w:val="00704AA0"/>
    <w:rsid w:val="007058C2"/>
    <w:rsid w:val="00705B77"/>
    <w:rsid w:val="00705C39"/>
    <w:rsid w:val="00705C77"/>
    <w:rsid w:val="00705EA7"/>
    <w:rsid w:val="0070620A"/>
    <w:rsid w:val="00706C23"/>
    <w:rsid w:val="00707368"/>
    <w:rsid w:val="007100D4"/>
    <w:rsid w:val="007109FB"/>
    <w:rsid w:val="007110EF"/>
    <w:rsid w:val="0071121D"/>
    <w:rsid w:val="00711E85"/>
    <w:rsid w:val="00712573"/>
    <w:rsid w:val="00712948"/>
    <w:rsid w:val="007132DD"/>
    <w:rsid w:val="00713DBE"/>
    <w:rsid w:val="00714013"/>
    <w:rsid w:val="00714052"/>
    <w:rsid w:val="00714B60"/>
    <w:rsid w:val="00714C8B"/>
    <w:rsid w:val="00716D59"/>
    <w:rsid w:val="00716D60"/>
    <w:rsid w:val="007205D4"/>
    <w:rsid w:val="00720ED4"/>
    <w:rsid w:val="00721B6A"/>
    <w:rsid w:val="00721E65"/>
    <w:rsid w:val="00722211"/>
    <w:rsid w:val="007223E5"/>
    <w:rsid w:val="00723748"/>
    <w:rsid w:val="00723BAA"/>
    <w:rsid w:val="00723CD7"/>
    <w:rsid w:val="00723D85"/>
    <w:rsid w:val="00723F9B"/>
    <w:rsid w:val="00724B44"/>
    <w:rsid w:val="0072551F"/>
    <w:rsid w:val="0072570A"/>
    <w:rsid w:val="0072685D"/>
    <w:rsid w:val="00726995"/>
    <w:rsid w:val="00727FB9"/>
    <w:rsid w:val="0073010A"/>
    <w:rsid w:val="00730828"/>
    <w:rsid w:val="00730964"/>
    <w:rsid w:val="00731621"/>
    <w:rsid w:val="0073164F"/>
    <w:rsid w:val="00731E1E"/>
    <w:rsid w:val="00732617"/>
    <w:rsid w:val="00732823"/>
    <w:rsid w:val="00732B9F"/>
    <w:rsid w:val="007334B1"/>
    <w:rsid w:val="00733905"/>
    <w:rsid w:val="00733EBD"/>
    <w:rsid w:val="007347DA"/>
    <w:rsid w:val="00734C68"/>
    <w:rsid w:val="00735707"/>
    <w:rsid w:val="00735736"/>
    <w:rsid w:val="00735CAF"/>
    <w:rsid w:val="00735D22"/>
    <w:rsid w:val="00735E46"/>
    <w:rsid w:val="00735E93"/>
    <w:rsid w:val="00736B88"/>
    <w:rsid w:val="00737B0F"/>
    <w:rsid w:val="00740293"/>
    <w:rsid w:val="00740370"/>
    <w:rsid w:val="007414EF"/>
    <w:rsid w:val="007416AC"/>
    <w:rsid w:val="0074229F"/>
    <w:rsid w:val="00742557"/>
    <w:rsid w:val="00742B61"/>
    <w:rsid w:val="00743069"/>
    <w:rsid w:val="00743684"/>
    <w:rsid w:val="00743CF9"/>
    <w:rsid w:val="00744143"/>
    <w:rsid w:val="00744B5B"/>
    <w:rsid w:val="00744E9E"/>
    <w:rsid w:val="00745365"/>
    <w:rsid w:val="00745558"/>
    <w:rsid w:val="0074586C"/>
    <w:rsid w:val="00745BE8"/>
    <w:rsid w:val="00745E7F"/>
    <w:rsid w:val="00745E80"/>
    <w:rsid w:val="0074600C"/>
    <w:rsid w:val="007465A5"/>
    <w:rsid w:val="00747C7D"/>
    <w:rsid w:val="00750757"/>
    <w:rsid w:val="0075082F"/>
    <w:rsid w:val="007509E2"/>
    <w:rsid w:val="00751445"/>
    <w:rsid w:val="00753324"/>
    <w:rsid w:val="007541EF"/>
    <w:rsid w:val="00754EBB"/>
    <w:rsid w:val="00754EF0"/>
    <w:rsid w:val="00755695"/>
    <w:rsid w:val="00755EAA"/>
    <w:rsid w:val="0075614C"/>
    <w:rsid w:val="00756841"/>
    <w:rsid w:val="00756E8F"/>
    <w:rsid w:val="00757184"/>
    <w:rsid w:val="00757686"/>
    <w:rsid w:val="0075778D"/>
    <w:rsid w:val="00757CF4"/>
    <w:rsid w:val="00757EEE"/>
    <w:rsid w:val="00760FA0"/>
    <w:rsid w:val="00761433"/>
    <w:rsid w:val="007617F3"/>
    <w:rsid w:val="00761D64"/>
    <w:rsid w:val="00761E60"/>
    <w:rsid w:val="00762C30"/>
    <w:rsid w:val="00763262"/>
    <w:rsid w:val="0076330A"/>
    <w:rsid w:val="00764096"/>
    <w:rsid w:val="0076453B"/>
    <w:rsid w:val="0076458B"/>
    <w:rsid w:val="007662DA"/>
    <w:rsid w:val="00766C18"/>
    <w:rsid w:val="00766D15"/>
    <w:rsid w:val="00767320"/>
    <w:rsid w:val="00767C99"/>
    <w:rsid w:val="00770488"/>
    <w:rsid w:val="00770662"/>
    <w:rsid w:val="00770EE9"/>
    <w:rsid w:val="0077110A"/>
    <w:rsid w:val="00772455"/>
    <w:rsid w:val="00772600"/>
    <w:rsid w:val="00773161"/>
    <w:rsid w:val="007731C8"/>
    <w:rsid w:val="007732BD"/>
    <w:rsid w:val="00773350"/>
    <w:rsid w:val="0077367D"/>
    <w:rsid w:val="00773F58"/>
    <w:rsid w:val="007749BF"/>
    <w:rsid w:val="00774F16"/>
    <w:rsid w:val="007752AF"/>
    <w:rsid w:val="00776366"/>
    <w:rsid w:val="0077644D"/>
    <w:rsid w:val="0077695C"/>
    <w:rsid w:val="00776F94"/>
    <w:rsid w:val="00777113"/>
    <w:rsid w:val="00777789"/>
    <w:rsid w:val="00777DB3"/>
    <w:rsid w:val="00780A2D"/>
    <w:rsid w:val="00780CD2"/>
    <w:rsid w:val="00780ED7"/>
    <w:rsid w:val="00781982"/>
    <w:rsid w:val="00781EE9"/>
    <w:rsid w:val="00782CAC"/>
    <w:rsid w:val="00782DF6"/>
    <w:rsid w:val="007839F1"/>
    <w:rsid w:val="00783A19"/>
    <w:rsid w:val="00783D5D"/>
    <w:rsid w:val="007842F6"/>
    <w:rsid w:val="00784342"/>
    <w:rsid w:val="0078463F"/>
    <w:rsid w:val="00784835"/>
    <w:rsid w:val="0078522D"/>
    <w:rsid w:val="007873AD"/>
    <w:rsid w:val="007876C2"/>
    <w:rsid w:val="0078770D"/>
    <w:rsid w:val="00787E7C"/>
    <w:rsid w:val="00790956"/>
    <w:rsid w:val="00790DBB"/>
    <w:rsid w:val="00790E4B"/>
    <w:rsid w:val="00790F82"/>
    <w:rsid w:val="00791C64"/>
    <w:rsid w:val="00791F5F"/>
    <w:rsid w:val="00791F8E"/>
    <w:rsid w:val="00792248"/>
    <w:rsid w:val="007937D5"/>
    <w:rsid w:val="00793C4E"/>
    <w:rsid w:val="00794552"/>
    <w:rsid w:val="0079547A"/>
    <w:rsid w:val="00795C9C"/>
    <w:rsid w:val="0079654B"/>
    <w:rsid w:val="00797836"/>
    <w:rsid w:val="00797FB1"/>
    <w:rsid w:val="00797FE5"/>
    <w:rsid w:val="007A06A3"/>
    <w:rsid w:val="007A0FE6"/>
    <w:rsid w:val="007A1222"/>
    <w:rsid w:val="007A14AD"/>
    <w:rsid w:val="007A1B94"/>
    <w:rsid w:val="007A1C51"/>
    <w:rsid w:val="007A21A9"/>
    <w:rsid w:val="007A33BE"/>
    <w:rsid w:val="007A3A88"/>
    <w:rsid w:val="007A3AA2"/>
    <w:rsid w:val="007A4A06"/>
    <w:rsid w:val="007A4EBB"/>
    <w:rsid w:val="007A4F05"/>
    <w:rsid w:val="007A62D9"/>
    <w:rsid w:val="007A7876"/>
    <w:rsid w:val="007A7F8C"/>
    <w:rsid w:val="007B03FA"/>
    <w:rsid w:val="007B06C1"/>
    <w:rsid w:val="007B08B5"/>
    <w:rsid w:val="007B1E53"/>
    <w:rsid w:val="007B31D1"/>
    <w:rsid w:val="007B3741"/>
    <w:rsid w:val="007B4381"/>
    <w:rsid w:val="007B4676"/>
    <w:rsid w:val="007B5334"/>
    <w:rsid w:val="007B71E5"/>
    <w:rsid w:val="007B74AB"/>
    <w:rsid w:val="007B74F9"/>
    <w:rsid w:val="007C0828"/>
    <w:rsid w:val="007C0B23"/>
    <w:rsid w:val="007C0FC3"/>
    <w:rsid w:val="007C1492"/>
    <w:rsid w:val="007C1A58"/>
    <w:rsid w:val="007C21B9"/>
    <w:rsid w:val="007C25B9"/>
    <w:rsid w:val="007C2E8E"/>
    <w:rsid w:val="007C2F5C"/>
    <w:rsid w:val="007C3454"/>
    <w:rsid w:val="007C34D1"/>
    <w:rsid w:val="007C3E34"/>
    <w:rsid w:val="007C418B"/>
    <w:rsid w:val="007C42D5"/>
    <w:rsid w:val="007C42F8"/>
    <w:rsid w:val="007C43F4"/>
    <w:rsid w:val="007C4E56"/>
    <w:rsid w:val="007C5CF7"/>
    <w:rsid w:val="007C63A7"/>
    <w:rsid w:val="007C6FF6"/>
    <w:rsid w:val="007D01CD"/>
    <w:rsid w:val="007D0587"/>
    <w:rsid w:val="007D0E76"/>
    <w:rsid w:val="007D0FEE"/>
    <w:rsid w:val="007D158E"/>
    <w:rsid w:val="007D20AF"/>
    <w:rsid w:val="007D304D"/>
    <w:rsid w:val="007D4472"/>
    <w:rsid w:val="007D4ABD"/>
    <w:rsid w:val="007D4B42"/>
    <w:rsid w:val="007D57B1"/>
    <w:rsid w:val="007D69E7"/>
    <w:rsid w:val="007D6ADB"/>
    <w:rsid w:val="007D6C24"/>
    <w:rsid w:val="007D6DAD"/>
    <w:rsid w:val="007D709F"/>
    <w:rsid w:val="007D71B0"/>
    <w:rsid w:val="007D7608"/>
    <w:rsid w:val="007D77CF"/>
    <w:rsid w:val="007D7850"/>
    <w:rsid w:val="007E0086"/>
    <w:rsid w:val="007E0287"/>
    <w:rsid w:val="007E0F40"/>
    <w:rsid w:val="007E144A"/>
    <w:rsid w:val="007E23FD"/>
    <w:rsid w:val="007E2A7C"/>
    <w:rsid w:val="007E32A0"/>
    <w:rsid w:val="007E3909"/>
    <w:rsid w:val="007E3ED6"/>
    <w:rsid w:val="007E3FF6"/>
    <w:rsid w:val="007E5530"/>
    <w:rsid w:val="007E56BC"/>
    <w:rsid w:val="007E607C"/>
    <w:rsid w:val="007E7FCD"/>
    <w:rsid w:val="007E7FDB"/>
    <w:rsid w:val="007F15F6"/>
    <w:rsid w:val="007F1A3B"/>
    <w:rsid w:val="007F1AC5"/>
    <w:rsid w:val="007F1E59"/>
    <w:rsid w:val="007F24A0"/>
    <w:rsid w:val="007F2B3A"/>
    <w:rsid w:val="007F33B3"/>
    <w:rsid w:val="007F34AA"/>
    <w:rsid w:val="007F3546"/>
    <w:rsid w:val="007F3FC5"/>
    <w:rsid w:val="007F418A"/>
    <w:rsid w:val="007F51CF"/>
    <w:rsid w:val="007F6650"/>
    <w:rsid w:val="007F6A1A"/>
    <w:rsid w:val="007F6EFE"/>
    <w:rsid w:val="007F7D00"/>
    <w:rsid w:val="00800FBC"/>
    <w:rsid w:val="00801164"/>
    <w:rsid w:val="00803542"/>
    <w:rsid w:val="00803595"/>
    <w:rsid w:val="0080382B"/>
    <w:rsid w:val="008040FA"/>
    <w:rsid w:val="0080415D"/>
    <w:rsid w:val="008042E2"/>
    <w:rsid w:val="00804FC2"/>
    <w:rsid w:val="0080532B"/>
    <w:rsid w:val="00805620"/>
    <w:rsid w:val="008056F7"/>
    <w:rsid w:val="00805744"/>
    <w:rsid w:val="00805811"/>
    <w:rsid w:val="00805C53"/>
    <w:rsid w:val="00806BDD"/>
    <w:rsid w:val="00807A12"/>
    <w:rsid w:val="00807CCB"/>
    <w:rsid w:val="00807D43"/>
    <w:rsid w:val="00810F6A"/>
    <w:rsid w:val="0081242A"/>
    <w:rsid w:val="00812618"/>
    <w:rsid w:val="00812ACF"/>
    <w:rsid w:val="00812B5A"/>
    <w:rsid w:val="00814B89"/>
    <w:rsid w:val="00815766"/>
    <w:rsid w:val="008157EB"/>
    <w:rsid w:val="00815F20"/>
    <w:rsid w:val="0081659C"/>
    <w:rsid w:val="00816965"/>
    <w:rsid w:val="00816CEB"/>
    <w:rsid w:val="00816D38"/>
    <w:rsid w:val="00816E17"/>
    <w:rsid w:val="00816E6B"/>
    <w:rsid w:val="00817673"/>
    <w:rsid w:val="00820E5D"/>
    <w:rsid w:val="00822B00"/>
    <w:rsid w:val="00822EA6"/>
    <w:rsid w:val="0082331A"/>
    <w:rsid w:val="00823536"/>
    <w:rsid w:val="00823FD9"/>
    <w:rsid w:val="0082426C"/>
    <w:rsid w:val="00824622"/>
    <w:rsid w:val="00824852"/>
    <w:rsid w:val="00826297"/>
    <w:rsid w:val="00826C45"/>
    <w:rsid w:val="00827033"/>
    <w:rsid w:val="008277AB"/>
    <w:rsid w:val="008279A5"/>
    <w:rsid w:val="008279DC"/>
    <w:rsid w:val="008303EF"/>
    <w:rsid w:val="0083119A"/>
    <w:rsid w:val="0083198D"/>
    <w:rsid w:val="00831A83"/>
    <w:rsid w:val="00831EA6"/>
    <w:rsid w:val="00832124"/>
    <w:rsid w:val="008329C6"/>
    <w:rsid w:val="0083365C"/>
    <w:rsid w:val="00833828"/>
    <w:rsid w:val="00834D50"/>
    <w:rsid w:val="00834DB1"/>
    <w:rsid w:val="0084042B"/>
    <w:rsid w:val="008412BD"/>
    <w:rsid w:val="0084197A"/>
    <w:rsid w:val="00841D1E"/>
    <w:rsid w:val="00841E05"/>
    <w:rsid w:val="008431E9"/>
    <w:rsid w:val="00843E71"/>
    <w:rsid w:val="00844269"/>
    <w:rsid w:val="008445E3"/>
    <w:rsid w:val="00845311"/>
    <w:rsid w:val="008453B8"/>
    <w:rsid w:val="008456DD"/>
    <w:rsid w:val="00846297"/>
    <w:rsid w:val="008467FE"/>
    <w:rsid w:val="00846826"/>
    <w:rsid w:val="00846B81"/>
    <w:rsid w:val="00846DAB"/>
    <w:rsid w:val="00847320"/>
    <w:rsid w:val="008478E4"/>
    <w:rsid w:val="00847B9B"/>
    <w:rsid w:val="00850CCA"/>
    <w:rsid w:val="00851311"/>
    <w:rsid w:val="00852855"/>
    <w:rsid w:val="00852F4F"/>
    <w:rsid w:val="00853546"/>
    <w:rsid w:val="00853C62"/>
    <w:rsid w:val="00854660"/>
    <w:rsid w:val="00854A06"/>
    <w:rsid w:val="00854B79"/>
    <w:rsid w:val="00855090"/>
    <w:rsid w:val="0085596D"/>
    <w:rsid w:val="00855C9F"/>
    <w:rsid w:val="00855EB8"/>
    <w:rsid w:val="008564AE"/>
    <w:rsid w:val="0085703D"/>
    <w:rsid w:val="0085735F"/>
    <w:rsid w:val="008602BD"/>
    <w:rsid w:val="00860777"/>
    <w:rsid w:val="00860C8D"/>
    <w:rsid w:val="00860EAB"/>
    <w:rsid w:val="00861118"/>
    <w:rsid w:val="0086156A"/>
    <w:rsid w:val="00862335"/>
    <w:rsid w:val="0086267D"/>
    <w:rsid w:val="00862F0D"/>
    <w:rsid w:val="008632F7"/>
    <w:rsid w:val="0086372A"/>
    <w:rsid w:val="0086459A"/>
    <w:rsid w:val="00864706"/>
    <w:rsid w:val="00864F6B"/>
    <w:rsid w:val="00865B58"/>
    <w:rsid w:val="00865E0D"/>
    <w:rsid w:val="00866221"/>
    <w:rsid w:val="00866390"/>
    <w:rsid w:val="00866A46"/>
    <w:rsid w:val="00866CFF"/>
    <w:rsid w:val="00867688"/>
    <w:rsid w:val="00870282"/>
    <w:rsid w:val="0087030B"/>
    <w:rsid w:val="0087059A"/>
    <w:rsid w:val="00870717"/>
    <w:rsid w:val="00870F9B"/>
    <w:rsid w:val="00872D29"/>
    <w:rsid w:val="00873450"/>
    <w:rsid w:val="008734B0"/>
    <w:rsid w:val="008737D3"/>
    <w:rsid w:val="00873B42"/>
    <w:rsid w:val="00873EF4"/>
    <w:rsid w:val="0087476E"/>
    <w:rsid w:val="0087495D"/>
    <w:rsid w:val="00874CF0"/>
    <w:rsid w:val="00875764"/>
    <w:rsid w:val="0087623D"/>
    <w:rsid w:val="008764E5"/>
    <w:rsid w:val="00876D74"/>
    <w:rsid w:val="0087721E"/>
    <w:rsid w:val="00877F4C"/>
    <w:rsid w:val="00880166"/>
    <w:rsid w:val="00880F09"/>
    <w:rsid w:val="00881068"/>
    <w:rsid w:val="00881165"/>
    <w:rsid w:val="0088141A"/>
    <w:rsid w:val="00881E2A"/>
    <w:rsid w:val="00881F16"/>
    <w:rsid w:val="00882356"/>
    <w:rsid w:val="008827CB"/>
    <w:rsid w:val="0088285B"/>
    <w:rsid w:val="00882FD5"/>
    <w:rsid w:val="00883939"/>
    <w:rsid w:val="008839A5"/>
    <w:rsid w:val="00884D6A"/>
    <w:rsid w:val="00885181"/>
    <w:rsid w:val="0088544E"/>
    <w:rsid w:val="00885BB9"/>
    <w:rsid w:val="00885CD0"/>
    <w:rsid w:val="008872C1"/>
    <w:rsid w:val="00887F12"/>
    <w:rsid w:val="00890F24"/>
    <w:rsid w:val="00891566"/>
    <w:rsid w:val="00891786"/>
    <w:rsid w:val="00891AE9"/>
    <w:rsid w:val="00891C1B"/>
    <w:rsid w:val="00892240"/>
    <w:rsid w:val="00893004"/>
    <w:rsid w:val="00893F1B"/>
    <w:rsid w:val="0089440B"/>
    <w:rsid w:val="008968DA"/>
    <w:rsid w:val="00896AA5"/>
    <w:rsid w:val="00896F48"/>
    <w:rsid w:val="00897BA3"/>
    <w:rsid w:val="00897D73"/>
    <w:rsid w:val="008A068A"/>
    <w:rsid w:val="008A06BE"/>
    <w:rsid w:val="008A0813"/>
    <w:rsid w:val="008A0BE0"/>
    <w:rsid w:val="008A2077"/>
    <w:rsid w:val="008A2C2E"/>
    <w:rsid w:val="008A2C49"/>
    <w:rsid w:val="008A30DB"/>
    <w:rsid w:val="008A3705"/>
    <w:rsid w:val="008A3993"/>
    <w:rsid w:val="008A45C3"/>
    <w:rsid w:val="008A4A90"/>
    <w:rsid w:val="008A5294"/>
    <w:rsid w:val="008A574C"/>
    <w:rsid w:val="008A5989"/>
    <w:rsid w:val="008A5B5C"/>
    <w:rsid w:val="008A5F1C"/>
    <w:rsid w:val="008A6082"/>
    <w:rsid w:val="008A6BBC"/>
    <w:rsid w:val="008A6D33"/>
    <w:rsid w:val="008A6DAB"/>
    <w:rsid w:val="008B03C0"/>
    <w:rsid w:val="008B05FA"/>
    <w:rsid w:val="008B082C"/>
    <w:rsid w:val="008B0876"/>
    <w:rsid w:val="008B0A93"/>
    <w:rsid w:val="008B25A7"/>
    <w:rsid w:val="008B281A"/>
    <w:rsid w:val="008B2926"/>
    <w:rsid w:val="008B30FA"/>
    <w:rsid w:val="008B32C2"/>
    <w:rsid w:val="008B3FBC"/>
    <w:rsid w:val="008B4004"/>
    <w:rsid w:val="008B4516"/>
    <w:rsid w:val="008B45E5"/>
    <w:rsid w:val="008B47CE"/>
    <w:rsid w:val="008B48F6"/>
    <w:rsid w:val="008B5137"/>
    <w:rsid w:val="008B5619"/>
    <w:rsid w:val="008B666F"/>
    <w:rsid w:val="008B68D6"/>
    <w:rsid w:val="008B6FE4"/>
    <w:rsid w:val="008B72DB"/>
    <w:rsid w:val="008B773E"/>
    <w:rsid w:val="008B7C17"/>
    <w:rsid w:val="008C03FE"/>
    <w:rsid w:val="008C0479"/>
    <w:rsid w:val="008C0A55"/>
    <w:rsid w:val="008C1010"/>
    <w:rsid w:val="008C1647"/>
    <w:rsid w:val="008C16CE"/>
    <w:rsid w:val="008C24A9"/>
    <w:rsid w:val="008C36B8"/>
    <w:rsid w:val="008C395C"/>
    <w:rsid w:val="008C4926"/>
    <w:rsid w:val="008C4D37"/>
    <w:rsid w:val="008C5968"/>
    <w:rsid w:val="008C6257"/>
    <w:rsid w:val="008C63EE"/>
    <w:rsid w:val="008C742C"/>
    <w:rsid w:val="008D09F3"/>
    <w:rsid w:val="008D0E9E"/>
    <w:rsid w:val="008D1E12"/>
    <w:rsid w:val="008D3489"/>
    <w:rsid w:val="008D3570"/>
    <w:rsid w:val="008D38AE"/>
    <w:rsid w:val="008D485E"/>
    <w:rsid w:val="008D538E"/>
    <w:rsid w:val="008D5469"/>
    <w:rsid w:val="008D5A66"/>
    <w:rsid w:val="008D63E6"/>
    <w:rsid w:val="008D67AE"/>
    <w:rsid w:val="008D6C44"/>
    <w:rsid w:val="008D78A6"/>
    <w:rsid w:val="008D7E04"/>
    <w:rsid w:val="008E011B"/>
    <w:rsid w:val="008E1A14"/>
    <w:rsid w:val="008E2445"/>
    <w:rsid w:val="008E2CF0"/>
    <w:rsid w:val="008E2D5E"/>
    <w:rsid w:val="008E3775"/>
    <w:rsid w:val="008E3B79"/>
    <w:rsid w:val="008E3FFE"/>
    <w:rsid w:val="008E5AEE"/>
    <w:rsid w:val="008E5B5C"/>
    <w:rsid w:val="008E6263"/>
    <w:rsid w:val="008E656A"/>
    <w:rsid w:val="008E6E21"/>
    <w:rsid w:val="008E7128"/>
    <w:rsid w:val="008E7408"/>
    <w:rsid w:val="008E7A2B"/>
    <w:rsid w:val="008F0AB8"/>
    <w:rsid w:val="008F1E39"/>
    <w:rsid w:val="008F20F2"/>
    <w:rsid w:val="008F2255"/>
    <w:rsid w:val="008F24C4"/>
    <w:rsid w:val="008F2D11"/>
    <w:rsid w:val="008F356F"/>
    <w:rsid w:val="008F3591"/>
    <w:rsid w:val="008F3FEE"/>
    <w:rsid w:val="008F4004"/>
    <w:rsid w:val="008F4B71"/>
    <w:rsid w:val="008F4EF6"/>
    <w:rsid w:val="008F5A27"/>
    <w:rsid w:val="008F66C2"/>
    <w:rsid w:val="008F6881"/>
    <w:rsid w:val="008F6AFC"/>
    <w:rsid w:val="008F6CE3"/>
    <w:rsid w:val="008F6EC8"/>
    <w:rsid w:val="008F71AE"/>
    <w:rsid w:val="008F72E6"/>
    <w:rsid w:val="008F743B"/>
    <w:rsid w:val="008F7894"/>
    <w:rsid w:val="0090020D"/>
    <w:rsid w:val="00900A66"/>
    <w:rsid w:val="00900F60"/>
    <w:rsid w:val="009015F7"/>
    <w:rsid w:val="009027AD"/>
    <w:rsid w:val="00902C7A"/>
    <w:rsid w:val="00904673"/>
    <w:rsid w:val="00904E62"/>
    <w:rsid w:val="00905769"/>
    <w:rsid w:val="00905E10"/>
    <w:rsid w:val="0090624D"/>
    <w:rsid w:val="009067C4"/>
    <w:rsid w:val="00906B2D"/>
    <w:rsid w:val="00906BB4"/>
    <w:rsid w:val="00906CA7"/>
    <w:rsid w:val="00907671"/>
    <w:rsid w:val="00907C6C"/>
    <w:rsid w:val="009102B3"/>
    <w:rsid w:val="009112E9"/>
    <w:rsid w:val="0091244A"/>
    <w:rsid w:val="00913032"/>
    <w:rsid w:val="00914106"/>
    <w:rsid w:val="00914758"/>
    <w:rsid w:val="0091515C"/>
    <w:rsid w:val="009157CC"/>
    <w:rsid w:val="00915CBC"/>
    <w:rsid w:val="009160C7"/>
    <w:rsid w:val="00916534"/>
    <w:rsid w:val="009165D5"/>
    <w:rsid w:val="00916F0A"/>
    <w:rsid w:val="009171F0"/>
    <w:rsid w:val="00917746"/>
    <w:rsid w:val="009203D9"/>
    <w:rsid w:val="0092072B"/>
    <w:rsid w:val="00920A04"/>
    <w:rsid w:val="00920D71"/>
    <w:rsid w:val="00920ED6"/>
    <w:rsid w:val="0092187F"/>
    <w:rsid w:val="00922085"/>
    <w:rsid w:val="009228F7"/>
    <w:rsid w:val="00922D24"/>
    <w:rsid w:val="00923C78"/>
    <w:rsid w:val="00923E89"/>
    <w:rsid w:val="009249CA"/>
    <w:rsid w:val="00925166"/>
    <w:rsid w:val="009253FA"/>
    <w:rsid w:val="009260D8"/>
    <w:rsid w:val="009267DD"/>
    <w:rsid w:val="0092785A"/>
    <w:rsid w:val="00927941"/>
    <w:rsid w:val="009307A1"/>
    <w:rsid w:val="00930B7A"/>
    <w:rsid w:val="00930D58"/>
    <w:rsid w:val="0093220F"/>
    <w:rsid w:val="00932564"/>
    <w:rsid w:val="00932BA6"/>
    <w:rsid w:val="00932C81"/>
    <w:rsid w:val="0093329F"/>
    <w:rsid w:val="009332F0"/>
    <w:rsid w:val="00933361"/>
    <w:rsid w:val="00933560"/>
    <w:rsid w:val="009340CF"/>
    <w:rsid w:val="009346D0"/>
    <w:rsid w:val="0093475B"/>
    <w:rsid w:val="0093475F"/>
    <w:rsid w:val="00934B84"/>
    <w:rsid w:val="00934E69"/>
    <w:rsid w:val="009351A7"/>
    <w:rsid w:val="00936636"/>
    <w:rsid w:val="00936F60"/>
    <w:rsid w:val="009372DD"/>
    <w:rsid w:val="0093763E"/>
    <w:rsid w:val="00937C9C"/>
    <w:rsid w:val="0094018E"/>
    <w:rsid w:val="009402C6"/>
    <w:rsid w:val="009404B0"/>
    <w:rsid w:val="00940FC6"/>
    <w:rsid w:val="0094116D"/>
    <w:rsid w:val="009416A1"/>
    <w:rsid w:val="0094195E"/>
    <w:rsid w:val="00941EFD"/>
    <w:rsid w:val="00942056"/>
    <w:rsid w:val="009420CD"/>
    <w:rsid w:val="00943253"/>
    <w:rsid w:val="0094338D"/>
    <w:rsid w:val="0094398A"/>
    <w:rsid w:val="00943A96"/>
    <w:rsid w:val="00943B2B"/>
    <w:rsid w:val="00943E9F"/>
    <w:rsid w:val="009458A5"/>
    <w:rsid w:val="00945942"/>
    <w:rsid w:val="009463CB"/>
    <w:rsid w:val="00946833"/>
    <w:rsid w:val="009472E3"/>
    <w:rsid w:val="0094778E"/>
    <w:rsid w:val="00947DDF"/>
    <w:rsid w:val="00947F8A"/>
    <w:rsid w:val="0095077B"/>
    <w:rsid w:val="00950E62"/>
    <w:rsid w:val="009518BD"/>
    <w:rsid w:val="0095231C"/>
    <w:rsid w:val="009528C9"/>
    <w:rsid w:val="00952ECA"/>
    <w:rsid w:val="00953022"/>
    <w:rsid w:val="00953577"/>
    <w:rsid w:val="00953DCD"/>
    <w:rsid w:val="00953F6F"/>
    <w:rsid w:val="009545D5"/>
    <w:rsid w:val="00954E74"/>
    <w:rsid w:val="00955243"/>
    <w:rsid w:val="009557BC"/>
    <w:rsid w:val="00956CA9"/>
    <w:rsid w:val="0095767D"/>
    <w:rsid w:val="009578FB"/>
    <w:rsid w:val="00957962"/>
    <w:rsid w:val="00957A35"/>
    <w:rsid w:val="00957AAB"/>
    <w:rsid w:val="00960412"/>
    <w:rsid w:val="0096049E"/>
    <w:rsid w:val="009618CF"/>
    <w:rsid w:val="00961BFA"/>
    <w:rsid w:val="00962546"/>
    <w:rsid w:val="00962B1C"/>
    <w:rsid w:val="00962C9D"/>
    <w:rsid w:val="009633A8"/>
    <w:rsid w:val="00963586"/>
    <w:rsid w:val="009636CE"/>
    <w:rsid w:val="00963EFE"/>
    <w:rsid w:val="00964F7E"/>
    <w:rsid w:val="00964F91"/>
    <w:rsid w:val="009653BA"/>
    <w:rsid w:val="009662F7"/>
    <w:rsid w:val="0096638F"/>
    <w:rsid w:val="00966889"/>
    <w:rsid w:val="00966CF2"/>
    <w:rsid w:val="00967F23"/>
    <w:rsid w:val="00967F69"/>
    <w:rsid w:val="00970479"/>
    <w:rsid w:val="00970C1F"/>
    <w:rsid w:val="00970D15"/>
    <w:rsid w:val="00971261"/>
    <w:rsid w:val="00971D41"/>
    <w:rsid w:val="00971F31"/>
    <w:rsid w:val="00972238"/>
    <w:rsid w:val="00972C8F"/>
    <w:rsid w:val="009730A7"/>
    <w:rsid w:val="0097387D"/>
    <w:rsid w:val="00973C81"/>
    <w:rsid w:val="00973DB9"/>
    <w:rsid w:val="009745CD"/>
    <w:rsid w:val="00974739"/>
    <w:rsid w:val="00974E0F"/>
    <w:rsid w:val="009750C8"/>
    <w:rsid w:val="009755C5"/>
    <w:rsid w:val="009814D8"/>
    <w:rsid w:val="0098161A"/>
    <w:rsid w:val="00981A40"/>
    <w:rsid w:val="00983A03"/>
    <w:rsid w:val="00983E94"/>
    <w:rsid w:val="009843A3"/>
    <w:rsid w:val="00984CB6"/>
    <w:rsid w:val="00984D71"/>
    <w:rsid w:val="009861E0"/>
    <w:rsid w:val="00986457"/>
    <w:rsid w:val="009866A6"/>
    <w:rsid w:val="00987484"/>
    <w:rsid w:val="00987706"/>
    <w:rsid w:val="009907A3"/>
    <w:rsid w:val="009908DA"/>
    <w:rsid w:val="00991489"/>
    <w:rsid w:val="00992510"/>
    <w:rsid w:val="00992534"/>
    <w:rsid w:val="009937D3"/>
    <w:rsid w:val="0099445C"/>
    <w:rsid w:val="00994851"/>
    <w:rsid w:val="009948A8"/>
    <w:rsid w:val="00994C56"/>
    <w:rsid w:val="00994CE6"/>
    <w:rsid w:val="00994DEE"/>
    <w:rsid w:val="0099542E"/>
    <w:rsid w:val="00995595"/>
    <w:rsid w:val="0099587B"/>
    <w:rsid w:val="0099643C"/>
    <w:rsid w:val="00996CA6"/>
    <w:rsid w:val="00996DB0"/>
    <w:rsid w:val="00997081"/>
    <w:rsid w:val="0099726B"/>
    <w:rsid w:val="009975A1"/>
    <w:rsid w:val="00997624"/>
    <w:rsid w:val="00997CE4"/>
    <w:rsid w:val="009A1832"/>
    <w:rsid w:val="009A2062"/>
    <w:rsid w:val="009A269E"/>
    <w:rsid w:val="009A4351"/>
    <w:rsid w:val="009A4A0F"/>
    <w:rsid w:val="009A522F"/>
    <w:rsid w:val="009A5A85"/>
    <w:rsid w:val="009A60B5"/>
    <w:rsid w:val="009A6B7B"/>
    <w:rsid w:val="009A77D2"/>
    <w:rsid w:val="009A7AE1"/>
    <w:rsid w:val="009A7D5B"/>
    <w:rsid w:val="009A7DBC"/>
    <w:rsid w:val="009B1521"/>
    <w:rsid w:val="009B1958"/>
    <w:rsid w:val="009B1E3C"/>
    <w:rsid w:val="009B2625"/>
    <w:rsid w:val="009B2644"/>
    <w:rsid w:val="009B2B14"/>
    <w:rsid w:val="009B36C8"/>
    <w:rsid w:val="009B49DF"/>
    <w:rsid w:val="009B4D4C"/>
    <w:rsid w:val="009B59AF"/>
    <w:rsid w:val="009B6954"/>
    <w:rsid w:val="009C0106"/>
    <w:rsid w:val="009C0D13"/>
    <w:rsid w:val="009C1060"/>
    <w:rsid w:val="009C2106"/>
    <w:rsid w:val="009C30CF"/>
    <w:rsid w:val="009C361B"/>
    <w:rsid w:val="009C38F9"/>
    <w:rsid w:val="009C3E07"/>
    <w:rsid w:val="009C482F"/>
    <w:rsid w:val="009C5672"/>
    <w:rsid w:val="009C628B"/>
    <w:rsid w:val="009C636C"/>
    <w:rsid w:val="009C711F"/>
    <w:rsid w:val="009C7687"/>
    <w:rsid w:val="009D030F"/>
    <w:rsid w:val="009D08CE"/>
    <w:rsid w:val="009D122D"/>
    <w:rsid w:val="009D131A"/>
    <w:rsid w:val="009D1AFC"/>
    <w:rsid w:val="009D2111"/>
    <w:rsid w:val="009D2275"/>
    <w:rsid w:val="009D2842"/>
    <w:rsid w:val="009D2B4B"/>
    <w:rsid w:val="009D3794"/>
    <w:rsid w:val="009D3EC3"/>
    <w:rsid w:val="009D4065"/>
    <w:rsid w:val="009D457B"/>
    <w:rsid w:val="009D46AA"/>
    <w:rsid w:val="009D489E"/>
    <w:rsid w:val="009D4A48"/>
    <w:rsid w:val="009D4B84"/>
    <w:rsid w:val="009D4E41"/>
    <w:rsid w:val="009D538F"/>
    <w:rsid w:val="009D5659"/>
    <w:rsid w:val="009D5849"/>
    <w:rsid w:val="009D58F8"/>
    <w:rsid w:val="009D657B"/>
    <w:rsid w:val="009D6E82"/>
    <w:rsid w:val="009D7767"/>
    <w:rsid w:val="009E0631"/>
    <w:rsid w:val="009E2207"/>
    <w:rsid w:val="009E246B"/>
    <w:rsid w:val="009E2681"/>
    <w:rsid w:val="009E3387"/>
    <w:rsid w:val="009E33DE"/>
    <w:rsid w:val="009E42DF"/>
    <w:rsid w:val="009E436E"/>
    <w:rsid w:val="009E4F76"/>
    <w:rsid w:val="009E5893"/>
    <w:rsid w:val="009E58F4"/>
    <w:rsid w:val="009E5B0F"/>
    <w:rsid w:val="009E5B5B"/>
    <w:rsid w:val="009E7B3F"/>
    <w:rsid w:val="009E7D7E"/>
    <w:rsid w:val="009F0D75"/>
    <w:rsid w:val="009F1E2A"/>
    <w:rsid w:val="009F2A83"/>
    <w:rsid w:val="009F3FA8"/>
    <w:rsid w:val="009F47AB"/>
    <w:rsid w:val="009F4875"/>
    <w:rsid w:val="009F4A76"/>
    <w:rsid w:val="009F5429"/>
    <w:rsid w:val="009F5D56"/>
    <w:rsid w:val="009F621D"/>
    <w:rsid w:val="009F7467"/>
    <w:rsid w:val="009F7C4F"/>
    <w:rsid w:val="00A004A9"/>
    <w:rsid w:val="00A01E0B"/>
    <w:rsid w:val="00A02429"/>
    <w:rsid w:val="00A03DE8"/>
    <w:rsid w:val="00A03F8B"/>
    <w:rsid w:val="00A049D2"/>
    <w:rsid w:val="00A06344"/>
    <w:rsid w:val="00A06724"/>
    <w:rsid w:val="00A06AFB"/>
    <w:rsid w:val="00A06EC9"/>
    <w:rsid w:val="00A072AC"/>
    <w:rsid w:val="00A07497"/>
    <w:rsid w:val="00A108F0"/>
    <w:rsid w:val="00A11044"/>
    <w:rsid w:val="00A1134E"/>
    <w:rsid w:val="00A11B48"/>
    <w:rsid w:val="00A126B8"/>
    <w:rsid w:val="00A12E6E"/>
    <w:rsid w:val="00A12F7D"/>
    <w:rsid w:val="00A143F8"/>
    <w:rsid w:val="00A14599"/>
    <w:rsid w:val="00A14CD6"/>
    <w:rsid w:val="00A159ED"/>
    <w:rsid w:val="00A16439"/>
    <w:rsid w:val="00A21E96"/>
    <w:rsid w:val="00A231C3"/>
    <w:rsid w:val="00A242B9"/>
    <w:rsid w:val="00A242DC"/>
    <w:rsid w:val="00A243B7"/>
    <w:rsid w:val="00A244FA"/>
    <w:rsid w:val="00A24596"/>
    <w:rsid w:val="00A246E8"/>
    <w:rsid w:val="00A24859"/>
    <w:rsid w:val="00A25EC4"/>
    <w:rsid w:val="00A26036"/>
    <w:rsid w:val="00A268A0"/>
    <w:rsid w:val="00A27682"/>
    <w:rsid w:val="00A27A26"/>
    <w:rsid w:val="00A305F6"/>
    <w:rsid w:val="00A3092A"/>
    <w:rsid w:val="00A30DFB"/>
    <w:rsid w:val="00A31A78"/>
    <w:rsid w:val="00A31C41"/>
    <w:rsid w:val="00A32934"/>
    <w:rsid w:val="00A3293A"/>
    <w:rsid w:val="00A32C77"/>
    <w:rsid w:val="00A32F36"/>
    <w:rsid w:val="00A330CB"/>
    <w:rsid w:val="00A3352C"/>
    <w:rsid w:val="00A336B6"/>
    <w:rsid w:val="00A33789"/>
    <w:rsid w:val="00A3410A"/>
    <w:rsid w:val="00A34493"/>
    <w:rsid w:val="00A34884"/>
    <w:rsid w:val="00A3587D"/>
    <w:rsid w:val="00A409CE"/>
    <w:rsid w:val="00A40A5D"/>
    <w:rsid w:val="00A41CD9"/>
    <w:rsid w:val="00A41CEA"/>
    <w:rsid w:val="00A41FB0"/>
    <w:rsid w:val="00A4248F"/>
    <w:rsid w:val="00A426D2"/>
    <w:rsid w:val="00A42813"/>
    <w:rsid w:val="00A4287C"/>
    <w:rsid w:val="00A431C4"/>
    <w:rsid w:val="00A433E0"/>
    <w:rsid w:val="00A43426"/>
    <w:rsid w:val="00A43875"/>
    <w:rsid w:val="00A44621"/>
    <w:rsid w:val="00A45441"/>
    <w:rsid w:val="00A454B6"/>
    <w:rsid w:val="00A468A6"/>
    <w:rsid w:val="00A47A5B"/>
    <w:rsid w:val="00A5017F"/>
    <w:rsid w:val="00A50328"/>
    <w:rsid w:val="00A50725"/>
    <w:rsid w:val="00A508E9"/>
    <w:rsid w:val="00A50A9D"/>
    <w:rsid w:val="00A50C97"/>
    <w:rsid w:val="00A50EE4"/>
    <w:rsid w:val="00A51DDE"/>
    <w:rsid w:val="00A5388C"/>
    <w:rsid w:val="00A538DD"/>
    <w:rsid w:val="00A53A35"/>
    <w:rsid w:val="00A53A47"/>
    <w:rsid w:val="00A5426F"/>
    <w:rsid w:val="00A544AF"/>
    <w:rsid w:val="00A54769"/>
    <w:rsid w:val="00A549BE"/>
    <w:rsid w:val="00A549ED"/>
    <w:rsid w:val="00A54D53"/>
    <w:rsid w:val="00A554B2"/>
    <w:rsid w:val="00A561E0"/>
    <w:rsid w:val="00A566C1"/>
    <w:rsid w:val="00A568A7"/>
    <w:rsid w:val="00A5772F"/>
    <w:rsid w:val="00A57A09"/>
    <w:rsid w:val="00A57B24"/>
    <w:rsid w:val="00A6020D"/>
    <w:rsid w:val="00A61454"/>
    <w:rsid w:val="00A614D2"/>
    <w:rsid w:val="00A61C17"/>
    <w:rsid w:val="00A62999"/>
    <w:rsid w:val="00A6375A"/>
    <w:rsid w:val="00A637D6"/>
    <w:rsid w:val="00A63B42"/>
    <w:rsid w:val="00A63CE7"/>
    <w:rsid w:val="00A6410C"/>
    <w:rsid w:val="00A643AB"/>
    <w:rsid w:val="00A6446B"/>
    <w:rsid w:val="00A64BEC"/>
    <w:rsid w:val="00A65710"/>
    <w:rsid w:val="00A65F46"/>
    <w:rsid w:val="00A66657"/>
    <w:rsid w:val="00A67841"/>
    <w:rsid w:val="00A67A18"/>
    <w:rsid w:val="00A70069"/>
    <w:rsid w:val="00A7029A"/>
    <w:rsid w:val="00A702F3"/>
    <w:rsid w:val="00A70B1B"/>
    <w:rsid w:val="00A71171"/>
    <w:rsid w:val="00A71219"/>
    <w:rsid w:val="00A71761"/>
    <w:rsid w:val="00A71AA1"/>
    <w:rsid w:val="00A71F14"/>
    <w:rsid w:val="00A72414"/>
    <w:rsid w:val="00A7267A"/>
    <w:rsid w:val="00A72D85"/>
    <w:rsid w:val="00A72E9B"/>
    <w:rsid w:val="00A733AF"/>
    <w:rsid w:val="00A73486"/>
    <w:rsid w:val="00A738A6"/>
    <w:rsid w:val="00A73BA1"/>
    <w:rsid w:val="00A73BE7"/>
    <w:rsid w:val="00A73DD3"/>
    <w:rsid w:val="00A75147"/>
    <w:rsid w:val="00A75822"/>
    <w:rsid w:val="00A75A6D"/>
    <w:rsid w:val="00A767F2"/>
    <w:rsid w:val="00A76A56"/>
    <w:rsid w:val="00A76C76"/>
    <w:rsid w:val="00A77AA2"/>
    <w:rsid w:val="00A80214"/>
    <w:rsid w:val="00A80324"/>
    <w:rsid w:val="00A8043B"/>
    <w:rsid w:val="00A80696"/>
    <w:rsid w:val="00A8175D"/>
    <w:rsid w:val="00A81D3D"/>
    <w:rsid w:val="00A82163"/>
    <w:rsid w:val="00A824E0"/>
    <w:rsid w:val="00A82709"/>
    <w:rsid w:val="00A8282A"/>
    <w:rsid w:val="00A8298E"/>
    <w:rsid w:val="00A82FEB"/>
    <w:rsid w:val="00A83DF5"/>
    <w:rsid w:val="00A84691"/>
    <w:rsid w:val="00A8470D"/>
    <w:rsid w:val="00A85433"/>
    <w:rsid w:val="00A85461"/>
    <w:rsid w:val="00A85CE5"/>
    <w:rsid w:val="00A87A98"/>
    <w:rsid w:val="00A90B3D"/>
    <w:rsid w:val="00A9240C"/>
    <w:rsid w:val="00A92560"/>
    <w:rsid w:val="00A929FF"/>
    <w:rsid w:val="00A93300"/>
    <w:rsid w:val="00A93922"/>
    <w:rsid w:val="00A93D77"/>
    <w:rsid w:val="00A93FC5"/>
    <w:rsid w:val="00A943E6"/>
    <w:rsid w:val="00A9563C"/>
    <w:rsid w:val="00A95749"/>
    <w:rsid w:val="00A9577B"/>
    <w:rsid w:val="00A964CA"/>
    <w:rsid w:val="00A96932"/>
    <w:rsid w:val="00A96A46"/>
    <w:rsid w:val="00A96AEF"/>
    <w:rsid w:val="00A97C94"/>
    <w:rsid w:val="00AA1513"/>
    <w:rsid w:val="00AA195E"/>
    <w:rsid w:val="00AA20F0"/>
    <w:rsid w:val="00AA2B4D"/>
    <w:rsid w:val="00AA323F"/>
    <w:rsid w:val="00AA330E"/>
    <w:rsid w:val="00AA4266"/>
    <w:rsid w:val="00AA4630"/>
    <w:rsid w:val="00AA4F1F"/>
    <w:rsid w:val="00AA60E4"/>
    <w:rsid w:val="00AA747D"/>
    <w:rsid w:val="00AB0392"/>
    <w:rsid w:val="00AB1B9D"/>
    <w:rsid w:val="00AB27A2"/>
    <w:rsid w:val="00AB31E6"/>
    <w:rsid w:val="00AB3382"/>
    <w:rsid w:val="00AB38C3"/>
    <w:rsid w:val="00AB3A71"/>
    <w:rsid w:val="00AB40BE"/>
    <w:rsid w:val="00AB448E"/>
    <w:rsid w:val="00AB468D"/>
    <w:rsid w:val="00AB4E0B"/>
    <w:rsid w:val="00AB5723"/>
    <w:rsid w:val="00AB6662"/>
    <w:rsid w:val="00AB683D"/>
    <w:rsid w:val="00AB7F0C"/>
    <w:rsid w:val="00AC1400"/>
    <w:rsid w:val="00AC2088"/>
    <w:rsid w:val="00AC2415"/>
    <w:rsid w:val="00AC2490"/>
    <w:rsid w:val="00AC2B23"/>
    <w:rsid w:val="00AC321D"/>
    <w:rsid w:val="00AC3A67"/>
    <w:rsid w:val="00AC3C6C"/>
    <w:rsid w:val="00AC40C8"/>
    <w:rsid w:val="00AC4956"/>
    <w:rsid w:val="00AC4B3E"/>
    <w:rsid w:val="00AC5365"/>
    <w:rsid w:val="00AC565C"/>
    <w:rsid w:val="00AC591B"/>
    <w:rsid w:val="00AC5CED"/>
    <w:rsid w:val="00AC70CE"/>
    <w:rsid w:val="00AC776D"/>
    <w:rsid w:val="00AC7888"/>
    <w:rsid w:val="00AD130A"/>
    <w:rsid w:val="00AD1384"/>
    <w:rsid w:val="00AD26F1"/>
    <w:rsid w:val="00AD2A9E"/>
    <w:rsid w:val="00AD2F27"/>
    <w:rsid w:val="00AD3170"/>
    <w:rsid w:val="00AD324D"/>
    <w:rsid w:val="00AD37AA"/>
    <w:rsid w:val="00AD3D3B"/>
    <w:rsid w:val="00AD4515"/>
    <w:rsid w:val="00AD4653"/>
    <w:rsid w:val="00AD4C63"/>
    <w:rsid w:val="00AD4E80"/>
    <w:rsid w:val="00AD4EA8"/>
    <w:rsid w:val="00AD5C76"/>
    <w:rsid w:val="00AD6EA1"/>
    <w:rsid w:val="00AD6EEF"/>
    <w:rsid w:val="00AD7065"/>
    <w:rsid w:val="00AD70B5"/>
    <w:rsid w:val="00AE0134"/>
    <w:rsid w:val="00AE0E28"/>
    <w:rsid w:val="00AE2052"/>
    <w:rsid w:val="00AE262F"/>
    <w:rsid w:val="00AE2D23"/>
    <w:rsid w:val="00AE333C"/>
    <w:rsid w:val="00AE382E"/>
    <w:rsid w:val="00AE3CC9"/>
    <w:rsid w:val="00AE4EEC"/>
    <w:rsid w:val="00AE50C1"/>
    <w:rsid w:val="00AE5270"/>
    <w:rsid w:val="00AE5275"/>
    <w:rsid w:val="00AE5A11"/>
    <w:rsid w:val="00AE649D"/>
    <w:rsid w:val="00AE6627"/>
    <w:rsid w:val="00AE69FD"/>
    <w:rsid w:val="00AE6F73"/>
    <w:rsid w:val="00AE6FB4"/>
    <w:rsid w:val="00AF01A0"/>
    <w:rsid w:val="00AF054A"/>
    <w:rsid w:val="00AF08BF"/>
    <w:rsid w:val="00AF16AB"/>
    <w:rsid w:val="00AF1C74"/>
    <w:rsid w:val="00AF1D44"/>
    <w:rsid w:val="00AF22D9"/>
    <w:rsid w:val="00AF2EE1"/>
    <w:rsid w:val="00AF37F7"/>
    <w:rsid w:val="00AF4015"/>
    <w:rsid w:val="00AF4567"/>
    <w:rsid w:val="00AF5531"/>
    <w:rsid w:val="00AF579A"/>
    <w:rsid w:val="00AF6416"/>
    <w:rsid w:val="00AF6914"/>
    <w:rsid w:val="00AF7178"/>
    <w:rsid w:val="00AF7ADD"/>
    <w:rsid w:val="00B00514"/>
    <w:rsid w:val="00B00553"/>
    <w:rsid w:val="00B0072F"/>
    <w:rsid w:val="00B016E0"/>
    <w:rsid w:val="00B028AC"/>
    <w:rsid w:val="00B02EB7"/>
    <w:rsid w:val="00B038DD"/>
    <w:rsid w:val="00B03C51"/>
    <w:rsid w:val="00B04A37"/>
    <w:rsid w:val="00B04D2B"/>
    <w:rsid w:val="00B058F7"/>
    <w:rsid w:val="00B05A52"/>
    <w:rsid w:val="00B05B91"/>
    <w:rsid w:val="00B06580"/>
    <w:rsid w:val="00B06E62"/>
    <w:rsid w:val="00B07CD8"/>
    <w:rsid w:val="00B07F1F"/>
    <w:rsid w:val="00B105EF"/>
    <w:rsid w:val="00B10832"/>
    <w:rsid w:val="00B11752"/>
    <w:rsid w:val="00B117E0"/>
    <w:rsid w:val="00B119A8"/>
    <w:rsid w:val="00B132A2"/>
    <w:rsid w:val="00B137B3"/>
    <w:rsid w:val="00B15A4E"/>
    <w:rsid w:val="00B15A73"/>
    <w:rsid w:val="00B15C17"/>
    <w:rsid w:val="00B15CFC"/>
    <w:rsid w:val="00B16285"/>
    <w:rsid w:val="00B1652C"/>
    <w:rsid w:val="00B16CCA"/>
    <w:rsid w:val="00B17405"/>
    <w:rsid w:val="00B17B8D"/>
    <w:rsid w:val="00B20426"/>
    <w:rsid w:val="00B21D80"/>
    <w:rsid w:val="00B223CE"/>
    <w:rsid w:val="00B22E27"/>
    <w:rsid w:val="00B238E2"/>
    <w:rsid w:val="00B24CB4"/>
    <w:rsid w:val="00B24F1F"/>
    <w:rsid w:val="00B25009"/>
    <w:rsid w:val="00B25470"/>
    <w:rsid w:val="00B2554B"/>
    <w:rsid w:val="00B2584A"/>
    <w:rsid w:val="00B26698"/>
    <w:rsid w:val="00B2670E"/>
    <w:rsid w:val="00B27A98"/>
    <w:rsid w:val="00B27D72"/>
    <w:rsid w:val="00B302A3"/>
    <w:rsid w:val="00B307AF"/>
    <w:rsid w:val="00B30B93"/>
    <w:rsid w:val="00B310D4"/>
    <w:rsid w:val="00B31E5E"/>
    <w:rsid w:val="00B3200A"/>
    <w:rsid w:val="00B329DD"/>
    <w:rsid w:val="00B32BAC"/>
    <w:rsid w:val="00B33AC7"/>
    <w:rsid w:val="00B33D92"/>
    <w:rsid w:val="00B33F8F"/>
    <w:rsid w:val="00B33FAB"/>
    <w:rsid w:val="00B345E8"/>
    <w:rsid w:val="00B34E10"/>
    <w:rsid w:val="00B361D5"/>
    <w:rsid w:val="00B36C70"/>
    <w:rsid w:val="00B40373"/>
    <w:rsid w:val="00B40419"/>
    <w:rsid w:val="00B40795"/>
    <w:rsid w:val="00B4097C"/>
    <w:rsid w:val="00B40A3F"/>
    <w:rsid w:val="00B40B62"/>
    <w:rsid w:val="00B40CDD"/>
    <w:rsid w:val="00B40F3B"/>
    <w:rsid w:val="00B410D1"/>
    <w:rsid w:val="00B411E1"/>
    <w:rsid w:val="00B42036"/>
    <w:rsid w:val="00B42195"/>
    <w:rsid w:val="00B4226C"/>
    <w:rsid w:val="00B4275F"/>
    <w:rsid w:val="00B42878"/>
    <w:rsid w:val="00B438CD"/>
    <w:rsid w:val="00B44090"/>
    <w:rsid w:val="00B46D83"/>
    <w:rsid w:val="00B47341"/>
    <w:rsid w:val="00B50250"/>
    <w:rsid w:val="00B50C9B"/>
    <w:rsid w:val="00B516A3"/>
    <w:rsid w:val="00B51BB8"/>
    <w:rsid w:val="00B51C6F"/>
    <w:rsid w:val="00B5212D"/>
    <w:rsid w:val="00B54C1D"/>
    <w:rsid w:val="00B54F9F"/>
    <w:rsid w:val="00B55241"/>
    <w:rsid w:val="00B56476"/>
    <w:rsid w:val="00B56DB1"/>
    <w:rsid w:val="00B60232"/>
    <w:rsid w:val="00B604E3"/>
    <w:rsid w:val="00B60A8D"/>
    <w:rsid w:val="00B6113B"/>
    <w:rsid w:val="00B61EE9"/>
    <w:rsid w:val="00B61F2A"/>
    <w:rsid w:val="00B62B24"/>
    <w:rsid w:val="00B62F9D"/>
    <w:rsid w:val="00B6308F"/>
    <w:rsid w:val="00B645CB"/>
    <w:rsid w:val="00B65109"/>
    <w:rsid w:val="00B652A0"/>
    <w:rsid w:val="00B652D4"/>
    <w:rsid w:val="00B65816"/>
    <w:rsid w:val="00B65C2D"/>
    <w:rsid w:val="00B700AA"/>
    <w:rsid w:val="00B703E1"/>
    <w:rsid w:val="00B70A8B"/>
    <w:rsid w:val="00B717EC"/>
    <w:rsid w:val="00B72202"/>
    <w:rsid w:val="00B729B1"/>
    <w:rsid w:val="00B72A1D"/>
    <w:rsid w:val="00B735B2"/>
    <w:rsid w:val="00B739D5"/>
    <w:rsid w:val="00B744D4"/>
    <w:rsid w:val="00B74786"/>
    <w:rsid w:val="00B74AB9"/>
    <w:rsid w:val="00B755D5"/>
    <w:rsid w:val="00B75814"/>
    <w:rsid w:val="00B75ED4"/>
    <w:rsid w:val="00B7703F"/>
    <w:rsid w:val="00B77503"/>
    <w:rsid w:val="00B77DA1"/>
    <w:rsid w:val="00B8008B"/>
    <w:rsid w:val="00B802DA"/>
    <w:rsid w:val="00B80423"/>
    <w:rsid w:val="00B80711"/>
    <w:rsid w:val="00B80ADE"/>
    <w:rsid w:val="00B80EAA"/>
    <w:rsid w:val="00B8159D"/>
    <w:rsid w:val="00B81740"/>
    <w:rsid w:val="00B8182B"/>
    <w:rsid w:val="00B81B0F"/>
    <w:rsid w:val="00B82B8E"/>
    <w:rsid w:val="00B82C42"/>
    <w:rsid w:val="00B82D4D"/>
    <w:rsid w:val="00B82DE0"/>
    <w:rsid w:val="00B83240"/>
    <w:rsid w:val="00B83E93"/>
    <w:rsid w:val="00B846A8"/>
    <w:rsid w:val="00B85773"/>
    <w:rsid w:val="00B85837"/>
    <w:rsid w:val="00B86066"/>
    <w:rsid w:val="00B86384"/>
    <w:rsid w:val="00B86452"/>
    <w:rsid w:val="00B86583"/>
    <w:rsid w:val="00B86C0D"/>
    <w:rsid w:val="00B86DB4"/>
    <w:rsid w:val="00B879D8"/>
    <w:rsid w:val="00B879DF"/>
    <w:rsid w:val="00B87BC9"/>
    <w:rsid w:val="00B90812"/>
    <w:rsid w:val="00B909FE"/>
    <w:rsid w:val="00B91555"/>
    <w:rsid w:val="00B92B3C"/>
    <w:rsid w:val="00B941A6"/>
    <w:rsid w:val="00B95ECC"/>
    <w:rsid w:val="00B964D2"/>
    <w:rsid w:val="00BA0B32"/>
    <w:rsid w:val="00BA0CB5"/>
    <w:rsid w:val="00BA0E90"/>
    <w:rsid w:val="00BA1074"/>
    <w:rsid w:val="00BA15BA"/>
    <w:rsid w:val="00BA172F"/>
    <w:rsid w:val="00BA20D1"/>
    <w:rsid w:val="00BA364D"/>
    <w:rsid w:val="00BA3D97"/>
    <w:rsid w:val="00BA4E5F"/>
    <w:rsid w:val="00BA5527"/>
    <w:rsid w:val="00BA5B1A"/>
    <w:rsid w:val="00BA5EB3"/>
    <w:rsid w:val="00BA6469"/>
    <w:rsid w:val="00BA674A"/>
    <w:rsid w:val="00BA68D3"/>
    <w:rsid w:val="00BA6EF7"/>
    <w:rsid w:val="00BA6FD4"/>
    <w:rsid w:val="00BA74DB"/>
    <w:rsid w:val="00BA772E"/>
    <w:rsid w:val="00BA79AB"/>
    <w:rsid w:val="00BA7DCC"/>
    <w:rsid w:val="00BA7F4A"/>
    <w:rsid w:val="00BB0133"/>
    <w:rsid w:val="00BB0AD0"/>
    <w:rsid w:val="00BB12C4"/>
    <w:rsid w:val="00BB2C4F"/>
    <w:rsid w:val="00BB2EE3"/>
    <w:rsid w:val="00BB34C4"/>
    <w:rsid w:val="00BB4175"/>
    <w:rsid w:val="00BB4CD2"/>
    <w:rsid w:val="00BB59E1"/>
    <w:rsid w:val="00BB5A46"/>
    <w:rsid w:val="00BB5C1A"/>
    <w:rsid w:val="00BB7330"/>
    <w:rsid w:val="00BC04A2"/>
    <w:rsid w:val="00BC0B3A"/>
    <w:rsid w:val="00BC1890"/>
    <w:rsid w:val="00BC29A6"/>
    <w:rsid w:val="00BC39E2"/>
    <w:rsid w:val="00BC3C9A"/>
    <w:rsid w:val="00BC3D05"/>
    <w:rsid w:val="00BC3DF2"/>
    <w:rsid w:val="00BC4B5F"/>
    <w:rsid w:val="00BC4D9F"/>
    <w:rsid w:val="00BC534D"/>
    <w:rsid w:val="00BC5415"/>
    <w:rsid w:val="00BC5F8A"/>
    <w:rsid w:val="00BC6017"/>
    <w:rsid w:val="00BC725F"/>
    <w:rsid w:val="00BC7839"/>
    <w:rsid w:val="00BD0A9B"/>
    <w:rsid w:val="00BD1253"/>
    <w:rsid w:val="00BD1E70"/>
    <w:rsid w:val="00BD1EE5"/>
    <w:rsid w:val="00BD1FC2"/>
    <w:rsid w:val="00BD21D3"/>
    <w:rsid w:val="00BD258F"/>
    <w:rsid w:val="00BD25C4"/>
    <w:rsid w:val="00BD35C9"/>
    <w:rsid w:val="00BD36A8"/>
    <w:rsid w:val="00BD3B4A"/>
    <w:rsid w:val="00BD3BB7"/>
    <w:rsid w:val="00BD411D"/>
    <w:rsid w:val="00BD4236"/>
    <w:rsid w:val="00BD489E"/>
    <w:rsid w:val="00BD4BCA"/>
    <w:rsid w:val="00BD52C2"/>
    <w:rsid w:val="00BD5332"/>
    <w:rsid w:val="00BD54BB"/>
    <w:rsid w:val="00BD597F"/>
    <w:rsid w:val="00BD5C98"/>
    <w:rsid w:val="00BD628D"/>
    <w:rsid w:val="00BD6881"/>
    <w:rsid w:val="00BE0607"/>
    <w:rsid w:val="00BE0ED8"/>
    <w:rsid w:val="00BE18B3"/>
    <w:rsid w:val="00BE29DD"/>
    <w:rsid w:val="00BE2EA1"/>
    <w:rsid w:val="00BE3120"/>
    <w:rsid w:val="00BE32A5"/>
    <w:rsid w:val="00BE3D6D"/>
    <w:rsid w:val="00BE3F90"/>
    <w:rsid w:val="00BE488B"/>
    <w:rsid w:val="00BE48F0"/>
    <w:rsid w:val="00BE4F0A"/>
    <w:rsid w:val="00BE531C"/>
    <w:rsid w:val="00BE5A7B"/>
    <w:rsid w:val="00BE5AF5"/>
    <w:rsid w:val="00BE6AA6"/>
    <w:rsid w:val="00BE6FDE"/>
    <w:rsid w:val="00BF0AFB"/>
    <w:rsid w:val="00BF22ED"/>
    <w:rsid w:val="00BF36B8"/>
    <w:rsid w:val="00BF3BBC"/>
    <w:rsid w:val="00BF3F5F"/>
    <w:rsid w:val="00BF3F72"/>
    <w:rsid w:val="00BF44B8"/>
    <w:rsid w:val="00BF4AB0"/>
    <w:rsid w:val="00BF4B90"/>
    <w:rsid w:val="00BF542D"/>
    <w:rsid w:val="00BF5996"/>
    <w:rsid w:val="00BF5AD6"/>
    <w:rsid w:val="00BF617D"/>
    <w:rsid w:val="00BF63D1"/>
    <w:rsid w:val="00BF6774"/>
    <w:rsid w:val="00BF6962"/>
    <w:rsid w:val="00BF6B8A"/>
    <w:rsid w:val="00BF72CE"/>
    <w:rsid w:val="00C00909"/>
    <w:rsid w:val="00C00CF9"/>
    <w:rsid w:val="00C01152"/>
    <w:rsid w:val="00C02A85"/>
    <w:rsid w:val="00C02EAE"/>
    <w:rsid w:val="00C03376"/>
    <w:rsid w:val="00C03B2E"/>
    <w:rsid w:val="00C042D0"/>
    <w:rsid w:val="00C044C9"/>
    <w:rsid w:val="00C053EA"/>
    <w:rsid w:val="00C06529"/>
    <w:rsid w:val="00C07318"/>
    <w:rsid w:val="00C07623"/>
    <w:rsid w:val="00C07685"/>
    <w:rsid w:val="00C0775B"/>
    <w:rsid w:val="00C07C02"/>
    <w:rsid w:val="00C10C36"/>
    <w:rsid w:val="00C10C9F"/>
    <w:rsid w:val="00C11699"/>
    <w:rsid w:val="00C11B86"/>
    <w:rsid w:val="00C12339"/>
    <w:rsid w:val="00C125FF"/>
    <w:rsid w:val="00C13009"/>
    <w:rsid w:val="00C1319F"/>
    <w:rsid w:val="00C13324"/>
    <w:rsid w:val="00C13D93"/>
    <w:rsid w:val="00C140B9"/>
    <w:rsid w:val="00C140E9"/>
    <w:rsid w:val="00C142F9"/>
    <w:rsid w:val="00C1477A"/>
    <w:rsid w:val="00C151A0"/>
    <w:rsid w:val="00C15591"/>
    <w:rsid w:val="00C156B9"/>
    <w:rsid w:val="00C15BCE"/>
    <w:rsid w:val="00C15CC9"/>
    <w:rsid w:val="00C15D2B"/>
    <w:rsid w:val="00C1650D"/>
    <w:rsid w:val="00C1685E"/>
    <w:rsid w:val="00C16DC3"/>
    <w:rsid w:val="00C171C6"/>
    <w:rsid w:val="00C1728E"/>
    <w:rsid w:val="00C200C9"/>
    <w:rsid w:val="00C21987"/>
    <w:rsid w:val="00C23291"/>
    <w:rsid w:val="00C237CF"/>
    <w:rsid w:val="00C23F72"/>
    <w:rsid w:val="00C24C10"/>
    <w:rsid w:val="00C24D8E"/>
    <w:rsid w:val="00C250A9"/>
    <w:rsid w:val="00C25F66"/>
    <w:rsid w:val="00C269A6"/>
    <w:rsid w:val="00C27402"/>
    <w:rsid w:val="00C27BE4"/>
    <w:rsid w:val="00C30099"/>
    <w:rsid w:val="00C30ABE"/>
    <w:rsid w:val="00C30D10"/>
    <w:rsid w:val="00C3216C"/>
    <w:rsid w:val="00C3233A"/>
    <w:rsid w:val="00C32894"/>
    <w:rsid w:val="00C32A53"/>
    <w:rsid w:val="00C32CE5"/>
    <w:rsid w:val="00C3331C"/>
    <w:rsid w:val="00C339FD"/>
    <w:rsid w:val="00C3449B"/>
    <w:rsid w:val="00C34F75"/>
    <w:rsid w:val="00C358A8"/>
    <w:rsid w:val="00C35931"/>
    <w:rsid w:val="00C361AF"/>
    <w:rsid w:val="00C36505"/>
    <w:rsid w:val="00C3692E"/>
    <w:rsid w:val="00C369C2"/>
    <w:rsid w:val="00C377E7"/>
    <w:rsid w:val="00C377F2"/>
    <w:rsid w:val="00C4024F"/>
    <w:rsid w:val="00C410BC"/>
    <w:rsid w:val="00C41A33"/>
    <w:rsid w:val="00C41D74"/>
    <w:rsid w:val="00C42AE7"/>
    <w:rsid w:val="00C43501"/>
    <w:rsid w:val="00C43530"/>
    <w:rsid w:val="00C4367F"/>
    <w:rsid w:val="00C43F34"/>
    <w:rsid w:val="00C4465E"/>
    <w:rsid w:val="00C44DBE"/>
    <w:rsid w:val="00C45C3E"/>
    <w:rsid w:val="00C463DC"/>
    <w:rsid w:val="00C4739B"/>
    <w:rsid w:val="00C47A2B"/>
    <w:rsid w:val="00C50757"/>
    <w:rsid w:val="00C5092E"/>
    <w:rsid w:val="00C50D43"/>
    <w:rsid w:val="00C5129E"/>
    <w:rsid w:val="00C51992"/>
    <w:rsid w:val="00C51BE6"/>
    <w:rsid w:val="00C5224D"/>
    <w:rsid w:val="00C529A7"/>
    <w:rsid w:val="00C54310"/>
    <w:rsid w:val="00C54E02"/>
    <w:rsid w:val="00C5506F"/>
    <w:rsid w:val="00C55A03"/>
    <w:rsid w:val="00C55DF7"/>
    <w:rsid w:val="00C55E03"/>
    <w:rsid w:val="00C561A7"/>
    <w:rsid w:val="00C56333"/>
    <w:rsid w:val="00C56894"/>
    <w:rsid w:val="00C56ADB"/>
    <w:rsid w:val="00C56CD7"/>
    <w:rsid w:val="00C56D40"/>
    <w:rsid w:val="00C575E3"/>
    <w:rsid w:val="00C57AAB"/>
    <w:rsid w:val="00C57ADF"/>
    <w:rsid w:val="00C57D91"/>
    <w:rsid w:val="00C57E0B"/>
    <w:rsid w:val="00C6108C"/>
    <w:rsid w:val="00C61CA1"/>
    <w:rsid w:val="00C62A49"/>
    <w:rsid w:val="00C62DA6"/>
    <w:rsid w:val="00C63757"/>
    <w:rsid w:val="00C63A81"/>
    <w:rsid w:val="00C63F29"/>
    <w:rsid w:val="00C64070"/>
    <w:rsid w:val="00C64C18"/>
    <w:rsid w:val="00C66102"/>
    <w:rsid w:val="00C66DDD"/>
    <w:rsid w:val="00C66F88"/>
    <w:rsid w:val="00C67905"/>
    <w:rsid w:val="00C67ECF"/>
    <w:rsid w:val="00C710CA"/>
    <w:rsid w:val="00C716C7"/>
    <w:rsid w:val="00C71E68"/>
    <w:rsid w:val="00C73F42"/>
    <w:rsid w:val="00C7434D"/>
    <w:rsid w:val="00C744B9"/>
    <w:rsid w:val="00C74697"/>
    <w:rsid w:val="00C74AAB"/>
    <w:rsid w:val="00C75370"/>
    <w:rsid w:val="00C759BE"/>
    <w:rsid w:val="00C75A2A"/>
    <w:rsid w:val="00C75A81"/>
    <w:rsid w:val="00C75B75"/>
    <w:rsid w:val="00C7644D"/>
    <w:rsid w:val="00C769A4"/>
    <w:rsid w:val="00C76CE1"/>
    <w:rsid w:val="00C778FB"/>
    <w:rsid w:val="00C808F7"/>
    <w:rsid w:val="00C8097E"/>
    <w:rsid w:val="00C812C3"/>
    <w:rsid w:val="00C818C2"/>
    <w:rsid w:val="00C8191F"/>
    <w:rsid w:val="00C81947"/>
    <w:rsid w:val="00C827B2"/>
    <w:rsid w:val="00C8399D"/>
    <w:rsid w:val="00C84162"/>
    <w:rsid w:val="00C84FE1"/>
    <w:rsid w:val="00C8523B"/>
    <w:rsid w:val="00C8549E"/>
    <w:rsid w:val="00C8613B"/>
    <w:rsid w:val="00C866A0"/>
    <w:rsid w:val="00C86EF5"/>
    <w:rsid w:val="00C87118"/>
    <w:rsid w:val="00C87532"/>
    <w:rsid w:val="00C876C6"/>
    <w:rsid w:val="00C87DFE"/>
    <w:rsid w:val="00C90525"/>
    <w:rsid w:val="00C90A80"/>
    <w:rsid w:val="00C91081"/>
    <w:rsid w:val="00C910C1"/>
    <w:rsid w:val="00C91E9B"/>
    <w:rsid w:val="00C9252C"/>
    <w:rsid w:val="00C93313"/>
    <w:rsid w:val="00C93CA8"/>
    <w:rsid w:val="00C941C9"/>
    <w:rsid w:val="00C94BF0"/>
    <w:rsid w:val="00C97045"/>
    <w:rsid w:val="00C97267"/>
    <w:rsid w:val="00C97BC0"/>
    <w:rsid w:val="00CA05BA"/>
    <w:rsid w:val="00CA08A6"/>
    <w:rsid w:val="00CA0BA5"/>
    <w:rsid w:val="00CA1A8F"/>
    <w:rsid w:val="00CA1DBF"/>
    <w:rsid w:val="00CA1F1A"/>
    <w:rsid w:val="00CA23DF"/>
    <w:rsid w:val="00CA24C5"/>
    <w:rsid w:val="00CA4564"/>
    <w:rsid w:val="00CA49F7"/>
    <w:rsid w:val="00CA5110"/>
    <w:rsid w:val="00CA59C8"/>
    <w:rsid w:val="00CA5C9F"/>
    <w:rsid w:val="00CA5D22"/>
    <w:rsid w:val="00CA671D"/>
    <w:rsid w:val="00CA6FDC"/>
    <w:rsid w:val="00CA71E0"/>
    <w:rsid w:val="00CA7333"/>
    <w:rsid w:val="00CA74CB"/>
    <w:rsid w:val="00CA7556"/>
    <w:rsid w:val="00CA7C7D"/>
    <w:rsid w:val="00CB0028"/>
    <w:rsid w:val="00CB0089"/>
    <w:rsid w:val="00CB0421"/>
    <w:rsid w:val="00CB05A4"/>
    <w:rsid w:val="00CB34E0"/>
    <w:rsid w:val="00CB45BE"/>
    <w:rsid w:val="00CB497C"/>
    <w:rsid w:val="00CB4D99"/>
    <w:rsid w:val="00CB4EFB"/>
    <w:rsid w:val="00CB4F51"/>
    <w:rsid w:val="00CB507E"/>
    <w:rsid w:val="00CB53B7"/>
    <w:rsid w:val="00CB5A33"/>
    <w:rsid w:val="00CB5D0A"/>
    <w:rsid w:val="00CB6361"/>
    <w:rsid w:val="00CB66D1"/>
    <w:rsid w:val="00CB6F4E"/>
    <w:rsid w:val="00CB728A"/>
    <w:rsid w:val="00CB7303"/>
    <w:rsid w:val="00CB7879"/>
    <w:rsid w:val="00CB7ECE"/>
    <w:rsid w:val="00CC11AD"/>
    <w:rsid w:val="00CC12AD"/>
    <w:rsid w:val="00CC1707"/>
    <w:rsid w:val="00CC232B"/>
    <w:rsid w:val="00CC26BB"/>
    <w:rsid w:val="00CC2E7F"/>
    <w:rsid w:val="00CC2FC8"/>
    <w:rsid w:val="00CC3137"/>
    <w:rsid w:val="00CC3481"/>
    <w:rsid w:val="00CC3B2C"/>
    <w:rsid w:val="00CC4995"/>
    <w:rsid w:val="00CC4DA6"/>
    <w:rsid w:val="00CC5184"/>
    <w:rsid w:val="00CC5DF4"/>
    <w:rsid w:val="00CC5FA2"/>
    <w:rsid w:val="00CC60A8"/>
    <w:rsid w:val="00CC6B1C"/>
    <w:rsid w:val="00CC7338"/>
    <w:rsid w:val="00CC7EEC"/>
    <w:rsid w:val="00CD00EF"/>
    <w:rsid w:val="00CD06F7"/>
    <w:rsid w:val="00CD078D"/>
    <w:rsid w:val="00CD0A25"/>
    <w:rsid w:val="00CD1C41"/>
    <w:rsid w:val="00CD2376"/>
    <w:rsid w:val="00CD23EE"/>
    <w:rsid w:val="00CD244D"/>
    <w:rsid w:val="00CD2515"/>
    <w:rsid w:val="00CD2D50"/>
    <w:rsid w:val="00CD39D2"/>
    <w:rsid w:val="00CD3B12"/>
    <w:rsid w:val="00CD3D68"/>
    <w:rsid w:val="00CD40DA"/>
    <w:rsid w:val="00CD59A9"/>
    <w:rsid w:val="00CD61FF"/>
    <w:rsid w:val="00CD67E5"/>
    <w:rsid w:val="00CD6A8C"/>
    <w:rsid w:val="00CD6EDD"/>
    <w:rsid w:val="00CD6FAB"/>
    <w:rsid w:val="00CD79F1"/>
    <w:rsid w:val="00CD7EEF"/>
    <w:rsid w:val="00CD7FB6"/>
    <w:rsid w:val="00CE11DA"/>
    <w:rsid w:val="00CE11E4"/>
    <w:rsid w:val="00CE1A11"/>
    <w:rsid w:val="00CE1A1F"/>
    <w:rsid w:val="00CE27D0"/>
    <w:rsid w:val="00CE4887"/>
    <w:rsid w:val="00CE576C"/>
    <w:rsid w:val="00CE6E9A"/>
    <w:rsid w:val="00CE6F38"/>
    <w:rsid w:val="00CE7627"/>
    <w:rsid w:val="00CE7B85"/>
    <w:rsid w:val="00CF34CB"/>
    <w:rsid w:val="00CF34F4"/>
    <w:rsid w:val="00CF378C"/>
    <w:rsid w:val="00CF4B68"/>
    <w:rsid w:val="00CF516C"/>
    <w:rsid w:val="00CF53F1"/>
    <w:rsid w:val="00CF5526"/>
    <w:rsid w:val="00CF7099"/>
    <w:rsid w:val="00CF7215"/>
    <w:rsid w:val="00CF7604"/>
    <w:rsid w:val="00CF7825"/>
    <w:rsid w:val="00CF7EC2"/>
    <w:rsid w:val="00D01055"/>
    <w:rsid w:val="00D021D4"/>
    <w:rsid w:val="00D0270C"/>
    <w:rsid w:val="00D0287B"/>
    <w:rsid w:val="00D029D9"/>
    <w:rsid w:val="00D0316C"/>
    <w:rsid w:val="00D03232"/>
    <w:rsid w:val="00D03CD5"/>
    <w:rsid w:val="00D03E43"/>
    <w:rsid w:val="00D03F63"/>
    <w:rsid w:val="00D05AF2"/>
    <w:rsid w:val="00D064E3"/>
    <w:rsid w:val="00D076C2"/>
    <w:rsid w:val="00D07764"/>
    <w:rsid w:val="00D07AB0"/>
    <w:rsid w:val="00D11CB5"/>
    <w:rsid w:val="00D11CE1"/>
    <w:rsid w:val="00D131DC"/>
    <w:rsid w:val="00D13B2D"/>
    <w:rsid w:val="00D14525"/>
    <w:rsid w:val="00D14654"/>
    <w:rsid w:val="00D14CC3"/>
    <w:rsid w:val="00D14FF8"/>
    <w:rsid w:val="00D157CA"/>
    <w:rsid w:val="00D16376"/>
    <w:rsid w:val="00D16BEF"/>
    <w:rsid w:val="00D17181"/>
    <w:rsid w:val="00D17C90"/>
    <w:rsid w:val="00D17EAA"/>
    <w:rsid w:val="00D20711"/>
    <w:rsid w:val="00D216A8"/>
    <w:rsid w:val="00D21ECF"/>
    <w:rsid w:val="00D224FF"/>
    <w:rsid w:val="00D2287E"/>
    <w:rsid w:val="00D2305C"/>
    <w:rsid w:val="00D239B1"/>
    <w:rsid w:val="00D254AF"/>
    <w:rsid w:val="00D2634C"/>
    <w:rsid w:val="00D26B35"/>
    <w:rsid w:val="00D277A8"/>
    <w:rsid w:val="00D27962"/>
    <w:rsid w:val="00D30A4C"/>
    <w:rsid w:val="00D30E45"/>
    <w:rsid w:val="00D31181"/>
    <w:rsid w:val="00D31249"/>
    <w:rsid w:val="00D3166D"/>
    <w:rsid w:val="00D3188C"/>
    <w:rsid w:val="00D319B9"/>
    <w:rsid w:val="00D323FB"/>
    <w:rsid w:val="00D33324"/>
    <w:rsid w:val="00D34EC9"/>
    <w:rsid w:val="00D34FD4"/>
    <w:rsid w:val="00D350CB"/>
    <w:rsid w:val="00D3533B"/>
    <w:rsid w:val="00D35EF0"/>
    <w:rsid w:val="00D35F58"/>
    <w:rsid w:val="00D36324"/>
    <w:rsid w:val="00D368DC"/>
    <w:rsid w:val="00D371BE"/>
    <w:rsid w:val="00D373EC"/>
    <w:rsid w:val="00D3775D"/>
    <w:rsid w:val="00D377A7"/>
    <w:rsid w:val="00D379B8"/>
    <w:rsid w:val="00D4008B"/>
    <w:rsid w:val="00D4050E"/>
    <w:rsid w:val="00D41BB2"/>
    <w:rsid w:val="00D4206E"/>
    <w:rsid w:val="00D42A35"/>
    <w:rsid w:val="00D4324A"/>
    <w:rsid w:val="00D449E1"/>
    <w:rsid w:val="00D44BB4"/>
    <w:rsid w:val="00D450E7"/>
    <w:rsid w:val="00D452E0"/>
    <w:rsid w:val="00D4545D"/>
    <w:rsid w:val="00D45C7C"/>
    <w:rsid w:val="00D45EFF"/>
    <w:rsid w:val="00D46A3C"/>
    <w:rsid w:val="00D47B7E"/>
    <w:rsid w:val="00D50983"/>
    <w:rsid w:val="00D5185F"/>
    <w:rsid w:val="00D522CC"/>
    <w:rsid w:val="00D52AA0"/>
    <w:rsid w:val="00D52FD2"/>
    <w:rsid w:val="00D532E3"/>
    <w:rsid w:val="00D5345D"/>
    <w:rsid w:val="00D53BB6"/>
    <w:rsid w:val="00D53EDE"/>
    <w:rsid w:val="00D559A1"/>
    <w:rsid w:val="00D55C60"/>
    <w:rsid w:val="00D56CD7"/>
    <w:rsid w:val="00D570D0"/>
    <w:rsid w:val="00D578F9"/>
    <w:rsid w:val="00D57A61"/>
    <w:rsid w:val="00D606A2"/>
    <w:rsid w:val="00D61145"/>
    <w:rsid w:val="00D615FF"/>
    <w:rsid w:val="00D62139"/>
    <w:rsid w:val="00D632FC"/>
    <w:rsid w:val="00D64733"/>
    <w:rsid w:val="00D649DB"/>
    <w:rsid w:val="00D6517A"/>
    <w:rsid w:val="00D6527D"/>
    <w:rsid w:val="00D6544A"/>
    <w:rsid w:val="00D65808"/>
    <w:rsid w:val="00D658E0"/>
    <w:rsid w:val="00D6655E"/>
    <w:rsid w:val="00D66948"/>
    <w:rsid w:val="00D66ABF"/>
    <w:rsid w:val="00D6753B"/>
    <w:rsid w:val="00D677E6"/>
    <w:rsid w:val="00D67BC6"/>
    <w:rsid w:val="00D7112D"/>
    <w:rsid w:val="00D713CF"/>
    <w:rsid w:val="00D715D4"/>
    <w:rsid w:val="00D71952"/>
    <w:rsid w:val="00D71B7B"/>
    <w:rsid w:val="00D72111"/>
    <w:rsid w:val="00D73448"/>
    <w:rsid w:val="00D735A4"/>
    <w:rsid w:val="00D73631"/>
    <w:rsid w:val="00D73A17"/>
    <w:rsid w:val="00D73A30"/>
    <w:rsid w:val="00D73EFE"/>
    <w:rsid w:val="00D752D5"/>
    <w:rsid w:val="00D764CB"/>
    <w:rsid w:val="00D7676E"/>
    <w:rsid w:val="00D77272"/>
    <w:rsid w:val="00D779E8"/>
    <w:rsid w:val="00D77AFE"/>
    <w:rsid w:val="00D801BB"/>
    <w:rsid w:val="00D801C2"/>
    <w:rsid w:val="00D8026D"/>
    <w:rsid w:val="00D80784"/>
    <w:rsid w:val="00D80DDB"/>
    <w:rsid w:val="00D80E92"/>
    <w:rsid w:val="00D81867"/>
    <w:rsid w:val="00D82869"/>
    <w:rsid w:val="00D85379"/>
    <w:rsid w:val="00D86CFA"/>
    <w:rsid w:val="00D87D06"/>
    <w:rsid w:val="00D9021D"/>
    <w:rsid w:val="00D9049A"/>
    <w:rsid w:val="00D90A16"/>
    <w:rsid w:val="00D91176"/>
    <w:rsid w:val="00D92602"/>
    <w:rsid w:val="00D93067"/>
    <w:rsid w:val="00D9319D"/>
    <w:rsid w:val="00D941FE"/>
    <w:rsid w:val="00D96D3A"/>
    <w:rsid w:val="00D971EF"/>
    <w:rsid w:val="00D97F12"/>
    <w:rsid w:val="00DA00ED"/>
    <w:rsid w:val="00DA0760"/>
    <w:rsid w:val="00DA0AAB"/>
    <w:rsid w:val="00DA0BB5"/>
    <w:rsid w:val="00DA0BF1"/>
    <w:rsid w:val="00DA0BFE"/>
    <w:rsid w:val="00DA1A07"/>
    <w:rsid w:val="00DA263A"/>
    <w:rsid w:val="00DA296C"/>
    <w:rsid w:val="00DA33B1"/>
    <w:rsid w:val="00DA37C5"/>
    <w:rsid w:val="00DA41CD"/>
    <w:rsid w:val="00DA51E2"/>
    <w:rsid w:val="00DA54F1"/>
    <w:rsid w:val="00DA55CA"/>
    <w:rsid w:val="00DA6071"/>
    <w:rsid w:val="00DA7BF0"/>
    <w:rsid w:val="00DB0490"/>
    <w:rsid w:val="00DB0BC6"/>
    <w:rsid w:val="00DB0DEF"/>
    <w:rsid w:val="00DB16EC"/>
    <w:rsid w:val="00DB17E2"/>
    <w:rsid w:val="00DB23C8"/>
    <w:rsid w:val="00DB29A8"/>
    <w:rsid w:val="00DB373F"/>
    <w:rsid w:val="00DB3B93"/>
    <w:rsid w:val="00DB42FB"/>
    <w:rsid w:val="00DB489B"/>
    <w:rsid w:val="00DB48A5"/>
    <w:rsid w:val="00DB55A4"/>
    <w:rsid w:val="00DB5EDE"/>
    <w:rsid w:val="00DB62BF"/>
    <w:rsid w:val="00DB6BF8"/>
    <w:rsid w:val="00DB6C04"/>
    <w:rsid w:val="00DB7E90"/>
    <w:rsid w:val="00DC01A6"/>
    <w:rsid w:val="00DC0D47"/>
    <w:rsid w:val="00DC28B3"/>
    <w:rsid w:val="00DC2ADF"/>
    <w:rsid w:val="00DC2B11"/>
    <w:rsid w:val="00DC2D93"/>
    <w:rsid w:val="00DC32B4"/>
    <w:rsid w:val="00DC49AB"/>
    <w:rsid w:val="00DC4F19"/>
    <w:rsid w:val="00DC50E5"/>
    <w:rsid w:val="00DC53A1"/>
    <w:rsid w:val="00DC568A"/>
    <w:rsid w:val="00DC653B"/>
    <w:rsid w:val="00DC6B04"/>
    <w:rsid w:val="00DC7154"/>
    <w:rsid w:val="00DD017A"/>
    <w:rsid w:val="00DD0475"/>
    <w:rsid w:val="00DD06EE"/>
    <w:rsid w:val="00DD0922"/>
    <w:rsid w:val="00DD0C04"/>
    <w:rsid w:val="00DD1834"/>
    <w:rsid w:val="00DD1CBA"/>
    <w:rsid w:val="00DD1F5B"/>
    <w:rsid w:val="00DD2F69"/>
    <w:rsid w:val="00DD32BF"/>
    <w:rsid w:val="00DD3E0A"/>
    <w:rsid w:val="00DD4128"/>
    <w:rsid w:val="00DD42B5"/>
    <w:rsid w:val="00DD5911"/>
    <w:rsid w:val="00DD5A52"/>
    <w:rsid w:val="00DD5B69"/>
    <w:rsid w:val="00DD6DB7"/>
    <w:rsid w:val="00DE014F"/>
    <w:rsid w:val="00DE08CE"/>
    <w:rsid w:val="00DE0BA8"/>
    <w:rsid w:val="00DE0CB4"/>
    <w:rsid w:val="00DE114A"/>
    <w:rsid w:val="00DE16BB"/>
    <w:rsid w:val="00DE1CAB"/>
    <w:rsid w:val="00DE1F06"/>
    <w:rsid w:val="00DE2062"/>
    <w:rsid w:val="00DE241C"/>
    <w:rsid w:val="00DE26D0"/>
    <w:rsid w:val="00DE2A39"/>
    <w:rsid w:val="00DE2CC4"/>
    <w:rsid w:val="00DE3DF4"/>
    <w:rsid w:val="00DE478B"/>
    <w:rsid w:val="00DE4894"/>
    <w:rsid w:val="00DE4926"/>
    <w:rsid w:val="00DE635D"/>
    <w:rsid w:val="00DE73D2"/>
    <w:rsid w:val="00DE7B0F"/>
    <w:rsid w:val="00DE7E08"/>
    <w:rsid w:val="00DF0A18"/>
    <w:rsid w:val="00DF0CAB"/>
    <w:rsid w:val="00DF16D5"/>
    <w:rsid w:val="00DF1D4F"/>
    <w:rsid w:val="00DF2C90"/>
    <w:rsid w:val="00DF3E7E"/>
    <w:rsid w:val="00DF43B7"/>
    <w:rsid w:val="00DF5710"/>
    <w:rsid w:val="00DF601D"/>
    <w:rsid w:val="00DF670D"/>
    <w:rsid w:val="00DF7880"/>
    <w:rsid w:val="00DF7EA7"/>
    <w:rsid w:val="00E003AA"/>
    <w:rsid w:val="00E00FF5"/>
    <w:rsid w:val="00E013D9"/>
    <w:rsid w:val="00E027C2"/>
    <w:rsid w:val="00E02B26"/>
    <w:rsid w:val="00E039C8"/>
    <w:rsid w:val="00E03A6E"/>
    <w:rsid w:val="00E04AA4"/>
    <w:rsid w:val="00E04BDD"/>
    <w:rsid w:val="00E05745"/>
    <w:rsid w:val="00E05CC5"/>
    <w:rsid w:val="00E05DB9"/>
    <w:rsid w:val="00E067EE"/>
    <w:rsid w:val="00E06F48"/>
    <w:rsid w:val="00E0711D"/>
    <w:rsid w:val="00E07181"/>
    <w:rsid w:val="00E07356"/>
    <w:rsid w:val="00E10887"/>
    <w:rsid w:val="00E10C4A"/>
    <w:rsid w:val="00E1100A"/>
    <w:rsid w:val="00E11E89"/>
    <w:rsid w:val="00E11E9A"/>
    <w:rsid w:val="00E122FB"/>
    <w:rsid w:val="00E12A5B"/>
    <w:rsid w:val="00E14EE6"/>
    <w:rsid w:val="00E156A5"/>
    <w:rsid w:val="00E16663"/>
    <w:rsid w:val="00E17838"/>
    <w:rsid w:val="00E17D19"/>
    <w:rsid w:val="00E20143"/>
    <w:rsid w:val="00E20855"/>
    <w:rsid w:val="00E20B67"/>
    <w:rsid w:val="00E20FC6"/>
    <w:rsid w:val="00E21E14"/>
    <w:rsid w:val="00E21FC0"/>
    <w:rsid w:val="00E23209"/>
    <w:rsid w:val="00E2401D"/>
    <w:rsid w:val="00E241A1"/>
    <w:rsid w:val="00E246E5"/>
    <w:rsid w:val="00E247A6"/>
    <w:rsid w:val="00E2516C"/>
    <w:rsid w:val="00E255CF"/>
    <w:rsid w:val="00E256B7"/>
    <w:rsid w:val="00E27696"/>
    <w:rsid w:val="00E27EB7"/>
    <w:rsid w:val="00E30631"/>
    <w:rsid w:val="00E31BD5"/>
    <w:rsid w:val="00E31D9B"/>
    <w:rsid w:val="00E320AE"/>
    <w:rsid w:val="00E3215A"/>
    <w:rsid w:val="00E32B2E"/>
    <w:rsid w:val="00E32C1A"/>
    <w:rsid w:val="00E3332E"/>
    <w:rsid w:val="00E33800"/>
    <w:rsid w:val="00E3409E"/>
    <w:rsid w:val="00E346B2"/>
    <w:rsid w:val="00E349DD"/>
    <w:rsid w:val="00E34E8B"/>
    <w:rsid w:val="00E3500B"/>
    <w:rsid w:val="00E353E0"/>
    <w:rsid w:val="00E35CAE"/>
    <w:rsid w:val="00E3620B"/>
    <w:rsid w:val="00E36894"/>
    <w:rsid w:val="00E3696C"/>
    <w:rsid w:val="00E36D7D"/>
    <w:rsid w:val="00E37A75"/>
    <w:rsid w:val="00E4077E"/>
    <w:rsid w:val="00E410BD"/>
    <w:rsid w:val="00E4172F"/>
    <w:rsid w:val="00E41BB8"/>
    <w:rsid w:val="00E41F69"/>
    <w:rsid w:val="00E41FF9"/>
    <w:rsid w:val="00E42C35"/>
    <w:rsid w:val="00E4367D"/>
    <w:rsid w:val="00E43B9E"/>
    <w:rsid w:val="00E43CE7"/>
    <w:rsid w:val="00E450F5"/>
    <w:rsid w:val="00E45701"/>
    <w:rsid w:val="00E45D5F"/>
    <w:rsid w:val="00E45F0F"/>
    <w:rsid w:val="00E45F16"/>
    <w:rsid w:val="00E45F4B"/>
    <w:rsid w:val="00E46B14"/>
    <w:rsid w:val="00E47724"/>
    <w:rsid w:val="00E514FC"/>
    <w:rsid w:val="00E560BA"/>
    <w:rsid w:val="00E5613E"/>
    <w:rsid w:val="00E561EF"/>
    <w:rsid w:val="00E568B7"/>
    <w:rsid w:val="00E56CEB"/>
    <w:rsid w:val="00E579B7"/>
    <w:rsid w:val="00E600FA"/>
    <w:rsid w:val="00E60513"/>
    <w:rsid w:val="00E60575"/>
    <w:rsid w:val="00E60BF9"/>
    <w:rsid w:val="00E60E9B"/>
    <w:rsid w:val="00E61513"/>
    <w:rsid w:val="00E616BE"/>
    <w:rsid w:val="00E6234E"/>
    <w:rsid w:val="00E641CF"/>
    <w:rsid w:val="00E64B7C"/>
    <w:rsid w:val="00E652CF"/>
    <w:rsid w:val="00E66426"/>
    <w:rsid w:val="00E67845"/>
    <w:rsid w:val="00E67AAF"/>
    <w:rsid w:val="00E70996"/>
    <w:rsid w:val="00E70B1C"/>
    <w:rsid w:val="00E71B99"/>
    <w:rsid w:val="00E71D63"/>
    <w:rsid w:val="00E71F9D"/>
    <w:rsid w:val="00E732A8"/>
    <w:rsid w:val="00E73E80"/>
    <w:rsid w:val="00E73EDE"/>
    <w:rsid w:val="00E73F53"/>
    <w:rsid w:val="00E75643"/>
    <w:rsid w:val="00E75A34"/>
    <w:rsid w:val="00E76405"/>
    <w:rsid w:val="00E766FC"/>
    <w:rsid w:val="00E76D91"/>
    <w:rsid w:val="00E76F05"/>
    <w:rsid w:val="00E772A6"/>
    <w:rsid w:val="00E77409"/>
    <w:rsid w:val="00E8027E"/>
    <w:rsid w:val="00E808DD"/>
    <w:rsid w:val="00E810C6"/>
    <w:rsid w:val="00E817D7"/>
    <w:rsid w:val="00E82052"/>
    <w:rsid w:val="00E83D5B"/>
    <w:rsid w:val="00E8417C"/>
    <w:rsid w:val="00E86217"/>
    <w:rsid w:val="00E878E5"/>
    <w:rsid w:val="00E90563"/>
    <w:rsid w:val="00E91C70"/>
    <w:rsid w:val="00E91FC5"/>
    <w:rsid w:val="00E93564"/>
    <w:rsid w:val="00E937F6"/>
    <w:rsid w:val="00E94006"/>
    <w:rsid w:val="00E95614"/>
    <w:rsid w:val="00E958D9"/>
    <w:rsid w:val="00E96837"/>
    <w:rsid w:val="00E97AE1"/>
    <w:rsid w:val="00EA00A4"/>
    <w:rsid w:val="00EA0C29"/>
    <w:rsid w:val="00EA137B"/>
    <w:rsid w:val="00EA19F7"/>
    <w:rsid w:val="00EA2197"/>
    <w:rsid w:val="00EA236A"/>
    <w:rsid w:val="00EA23CD"/>
    <w:rsid w:val="00EA3FEF"/>
    <w:rsid w:val="00EA4398"/>
    <w:rsid w:val="00EA502B"/>
    <w:rsid w:val="00EA5753"/>
    <w:rsid w:val="00EA5FB2"/>
    <w:rsid w:val="00EA7B0D"/>
    <w:rsid w:val="00EA7CC0"/>
    <w:rsid w:val="00EA7E51"/>
    <w:rsid w:val="00EA7FCA"/>
    <w:rsid w:val="00EB0437"/>
    <w:rsid w:val="00EB08A2"/>
    <w:rsid w:val="00EB0F53"/>
    <w:rsid w:val="00EB2C44"/>
    <w:rsid w:val="00EB2FEB"/>
    <w:rsid w:val="00EB4739"/>
    <w:rsid w:val="00EB4A8F"/>
    <w:rsid w:val="00EB4CB4"/>
    <w:rsid w:val="00EB50C4"/>
    <w:rsid w:val="00EB6BCB"/>
    <w:rsid w:val="00EB79FF"/>
    <w:rsid w:val="00EC042E"/>
    <w:rsid w:val="00EC05F6"/>
    <w:rsid w:val="00EC0F4E"/>
    <w:rsid w:val="00EC1000"/>
    <w:rsid w:val="00EC1617"/>
    <w:rsid w:val="00EC1CF9"/>
    <w:rsid w:val="00EC21BB"/>
    <w:rsid w:val="00EC2900"/>
    <w:rsid w:val="00EC3248"/>
    <w:rsid w:val="00EC4483"/>
    <w:rsid w:val="00EC4EC6"/>
    <w:rsid w:val="00EC5193"/>
    <w:rsid w:val="00EC54DE"/>
    <w:rsid w:val="00EC6DDC"/>
    <w:rsid w:val="00EC6EB2"/>
    <w:rsid w:val="00EC71DA"/>
    <w:rsid w:val="00EC780F"/>
    <w:rsid w:val="00EC784F"/>
    <w:rsid w:val="00EC7BF8"/>
    <w:rsid w:val="00ED092D"/>
    <w:rsid w:val="00ED09A0"/>
    <w:rsid w:val="00ED1183"/>
    <w:rsid w:val="00ED149D"/>
    <w:rsid w:val="00ED1B9E"/>
    <w:rsid w:val="00ED20CD"/>
    <w:rsid w:val="00ED20F6"/>
    <w:rsid w:val="00ED25D6"/>
    <w:rsid w:val="00ED35E6"/>
    <w:rsid w:val="00ED3879"/>
    <w:rsid w:val="00ED42A6"/>
    <w:rsid w:val="00ED454B"/>
    <w:rsid w:val="00ED4A57"/>
    <w:rsid w:val="00ED4FC1"/>
    <w:rsid w:val="00ED5B62"/>
    <w:rsid w:val="00ED61A1"/>
    <w:rsid w:val="00ED6285"/>
    <w:rsid w:val="00ED6EDE"/>
    <w:rsid w:val="00ED751D"/>
    <w:rsid w:val="00EE10E0"/>
    <w:rsid w:val="00EE1547"/>
    <w:rsid w:val="00EE1A3F"/>
    <w:rsid w:val="00EE1B21"/>
    <w:rsid w:val="00EE2060"/>
    <w:rsid w:val="00EE22F0"/>
    <w:rsid w:val="00EE236D"/>
    <w:rsid w:val="00EE26C0"/>
    <w:rsid w:val="00EE3130"/>
    <w:rsid w:val="00EE3219"/>
    <w:rsid w:val="00EE356F"/>
    <w:rsid w:val="00EE361A"/>
    <w:rsid w:val="00EE36A7"/>
    <w:rsid w:val="00EE3DBD"/>
    <w:rsid w:val="00EE3FB2"/>
    <w:rsid w:val="00EE4714"/>
    <w:rsid w:val="00EE4D98"/>
    <w:rsid w:val="00EE4DBB"/>
    <w:rsid w:val="00EE503A"/>
    <w:rsid w:val="00EE5114"/>
    <w:rsid w:val="00EE545A"/>
    <w:rsid w:val="00EE5D7A"/>
    <w:rsid w:val="00EE612B"/>
    <w:rsid w:val="00EE7132"/>
    <w:rsid w:val="00EF03DE"/>
    <w:rsid w:val="00EF2356"/>
    <w:rsid w:val="00EF27E4"/>
    <w:rsid w:val="00EF2928"/>
    <w:rsid w:val="00EF39B8"/>
    <w:rsid w:val="00EF4144"/>
    <w:rsid w:val="00EF45CC"/>
    <w:rsid w:val="00EF4F8F"/>
    <w:rsid w:val="00EF511D"/>
    <w:rsid w:val="00EF5212"/>
    <w:rsid w:val="00EF643F"/>
    <w:rsid w:val="00EF6546"/>
    <w:rsid w:val="00EF6C53"/>
    <w:rsid w:val="00EF6DDD"/>
    <w:rsid w:val="00EF7418"/>
    <w:rsid w:val="00EF7DB0"/>
    <w:rsid w:val="00F0060A"/>
    <w:rsid w:val="00F01FA6"/>
    <w:rsid w:val="00F035FF"/>
    <w:rsid w:val="00F0445D"/>
    <w:rsid w:val="00F049E8"/>
    <w:rsid w:val="00F05826"/>
    <w:rsid w:val="00F05A5E"/>
    <w:rsid w:val="00F05EBC"/>
    <w:rsid w:val="00F065EA"/>
    <w:rsid w:val="00F0792A"/>
    <w:rsid w:val="00F106E1"/>
    <w:rsid w:val="00F10A85"/>
    <w:rsid w:val="00F11614"/>
    <w:rsid w:val="00F117F5"/>
    <w:rsid w:val="00F118B8"/>
    <w:rsid w:val="00F118CC"/>
    <w:rsid w:val="00F11F30"/>
    <w:rsid w:val="00F13255"/>
    <w:rsid w:val="00F13D73"/>
    <w:rsid w:val="00F140D5"/>
    <w:rsid w:val="00F147A0"/>
    <w:rsid w:val="00F1665F"/>
    <w:rsid w:val="00F16DB6"/>
    <w:rsid w:val="00F16F14"/>
    <w:rsid w:val="00F177B6"/>
    <w:rsid w:val="00F1786B"/>
    <w:rsid w:val="00F17A10"/>
    <w:rsid w:val="00F17C98"/>
    <w:rsid w:val="00F17D97"/>
    <w:rsid w:val="00F17FC6"/>
    <w:rsid w:val="00F20014"/>
    <w:rsid w:val="00F20680"/>
    <w:rsid w:val="00F20AD8"/>
    <w:rsid w:val="00F20F7E"/>
    <w:rsid w:val="00F22017"/>
    <w:rsid w:val="00F22787"/>
    <w:rsid w:val="00F23B9B"/>
    <w:rsid w:val="00F24715"/>
    <w:rsid w:val="00F24A12"/>
    <w:rsid w:val="00F24C3A"/>
    <w:rsid w:val="00F258C0"/>
    <w:rsid w:val="00F259D4"/>
    <w:rsid w:val="00F25A1C"/>
    <w:rsid w:val="00F25BF3"/>
    <w:rsid w:val="00F25CE3"/>
    <w:rsid w:val="00F25D93"/>
    <w:rsid w:val="00F2612B"/>
    <w:rsid w:val="00F261BD"/>
    <w:rsid w:val="00F268E3"/>
    <w:rsid w:val="00F2736A"/>
    <w:rsid w:val="00F2746A"/>
    <w:rsid w:val="00F30464"/>
    <w:rsid w:val="00F311F3"/>
    <w:rsid w:val="00F315F3"/>
    <w:rsid w:val="00F31D81"/>
    <w:rsid w:val="00F31EC8"/>
    <w:rsid w:val="00F32461"/>
    <w:rsid w:val="00F32946"/>
    <w:rsid w:val="00F32E29"/>
    <w:rsid w:val="00F33066"/>
    <w:rsid w:val="00F33AB9"/>
    <w:rsid w:val="00F346A4"/>
    <w:rsid w:val="00F34FCA"/>
    <w:rsid w:val="00F35B7B"/>
    <w:rsid w:val="00F378AE"/>
    <w:rsid w:val="00F402EF"/>
    <w:rsid w:val="00F40BAB"/>
    <w:rsid w:val="00F41CB4"/>
    <w:rsid w:val="00F421E5"/>
    <w:rsid w:val="00F42F6E"/>
    <w:rsid w:val="00F43860"/>
    <w:rsid w:val="00F444B4"/>
    <w:rsid w:val="00F450A7"/>
    <w:rsid w:val="00F45514"/>
    <w:rsid w:val="00F45B13"/>
    <w:rsid w:val="00F45C2A"/>
    <w:rsid w:val="00F46D79"/>
    <w:rsid w:val="00F46E8A"/>
    <w:rsid w:val="00F50A7E"/>
    <w:rsid w:val="00F51206"/>
    <w:rsid w:val="00F51477"/>
    <w:rsid w:val="00F5149A"/>
    <w:rsid w:val="00F5169D"/>
    <w:rsid w:val="00F51E69"/>
    <w:rsid w:val="00F52610"/>
    <w:rsid w:val="00F52CC7"/>
    <w:rsid w:val="00F54729"/>
    <w:rsid w:val="00F54AE9"/>
    <w:rsid w:val="00F54B62"/>
    <w:rsid w:val="00F555AA"/>
    <w:rsid w:val="00F557F0"/>
    <w:rsid w:val="00F55984"/>
    <w:rsid w:val="00F55B7C"/>
    <w:rsid w:val="00F55CB7"/>
    <w:rsid w:val="00F5623F"/>
    <w:rsid w:val="00F5667B"/>
    <w:rsid w:val="00F569CC"/>
    <w:rsid w:val="00F56D67"/>
    <w:rsid w:val="00F57273"/>
    <w:rsid w:val="00F57B23"/>
    <w:rsid w:val="00F57FE9"/>
    <w:rsid w:val="00F60223"/>
    <w:rsid w:val="00F60332"/>
    <w:rsid w:val="00F61691"/>
    <w:rsid w:val="00F61845"/>
    <w:rsid w:val="00F619AF"/>
    <w:rsid w:val="00F625D1"/>
    <w:rsid w:val="00F633E6"/>
    <w:rsid w:val="00F63DC1"/>
    <w:rsid w:val="00F6411E"/>
    <w:rsid w:val="00F64D14"/>
    <w:rsid w:val="00F64D6E"/>
    <w:rsid w:val="00F64F95"/>
    <w:rsid w:val="00F654FE"/>
    <w:rsid w:val="00F662E9"/>
    <w:rsid w:val="00F6655E"/>
    <w:rsid w:val="00F67490"/>
    <w:rsid w:val="00F70E3B"/>
    <w:rsid w:val="00F70EFE"/>
    <w:rsid w:val="00F7103D"/>
    <w:rsid w:val="00F711CA"/>
    <w:rsid w:val="00F714C9"/>
    <w:rsid w:val="00F72746"/>
    <w:rsid w:val="00F73FEB"/>
    <w:rsid w:val="00F74902"/>
    <w:rsid w:val="00F7510E"/>
    <w:rsid w:val="00F770C1"/>
    <w:rsid w:val="00F770FA"/>
    <w:rsid w:val="00F77A34"/>
    <w:rsid w:val="00F77BF7"/>
    <w:rsid w:val="00F77F75"/>
    <w:rsid w:val="00F80341"/>
    <w:rsid w:val="00F80478"/>
    <w:rsid w:val="00F8083D"/>
    <w:rsid w:val="00F82615"/>
    <w:rsid w:val="00F8308C"/>
    <w:rsid w:val="00F844AE"/>
    <w:rsid w:val="00F852C7"/>
    <w:rsid w:val="00F85D6F"/>
    <w:rsid w:val="00F865AC"/>
    <w:rsid w:val="00F86A13"/>
    <w:rsid w:val="00F90615"/>
    <w:rsid w:val="00F909CF"/>
    <w:rsid w:val="00F90CBB"/>
    <w:rsid w:val="00F91400"/>
    <w:rsid w:val="00F919CD"/>
    <w:rsid w:val="00F91DD2"/>
    <w:rsid w:val="00F927AB"/>
    <w:rsid w:val="00F92B4D"/>
    <w:rsid w:val="00F93D62"/>
    <w:rsid w:val="00F941F5"/>
    <w:rsid w:val="00F947CD"/>
    <w:rsid w:val="00F95274"/>
    <w:rsid w:val="00F95A9D"/>
    <w:rsid w:val="00F9604A"/>
    <w:rsid w:val="00F96C7F"/>
    <w:rsid w:val="00F96F2A"/>
    <w:rsid w:val="00F97EE3"/>
    <w:rsid w:val="00F97FAE"/>
    <w:rsid w:val="00FA016C"/>
    <w:rsid w:val="00FA0601"/>
    <w:rsid w:val="00FA0EB7"/>
    <w:rsid w:val="00FA1697"/>
    <w:rsid w:val="00FA20B2"/>
    <w:rsid w:val="00FA23C8"/>
    <w:rsid w:val="00FA26F3"/>
    <w:rsid w:val="00FA2DFE"/>
    <w:rsid w:val="00FA2E4B"/>
    <w:rsid w:val="00FA3116"/>
    <w:rsid w:val="00FA39B4"/>
    <w:rsid w:val="00FA3C53"/>
    <w:rsid w:val="00FA540E"/>
    <w:rsid w:val="00FA56E1"/>
    <w:rsid w:val="00FA650F"/>
    <w:rsid w:val="00FA67FF"/>
    <w:rsid w:val="00FA6B69"/>
    <w:rsid w:val="00FA72AB"/>
    <w:rsid w:val="00FB06D7"/>
    <w:rsid w:val="00FB10AA"/>
    <w:rsid w:val="00FB1CBB"/>
    <w:rsid w:val="00FB2F69"/>
    <w:rsid w:val="00FB309A"/>
    <w:rsid w:val="00FB5A2F"/>
    <w:rsid w:val="00FB6BCC"/>
    <w:rsid w:val="00FB700F"/>
    <w:rsid w:val="00FB70E0"/>
    <w:rsid w:val="00FC0037"/>
    <w:rsid w:val="00FC06EE"/>
    <w:rsid w:val="00FC2627"/>
    <w:rsid w:val="00FC275F"/>
    <w:rsid w:val="00FC278A"/>
    <w:rsid w:val="00FC29FE"/>
    <w:rsid w:val="00FC4137"/>
    <w:rsid w:val="00FC46A1"/>
    <w:rsid w:val="00FC49F2"/>
    <w:rsid w:val="00FC4D94"/>
    <w:rsid w:val="00FC5C4A"/>
    <w:rsid w:val="00FC5CF2"/>
    <w:rsid w:val="00FC5D69"/>
    <w:rsid w:val="00FC5D95"/>
    <w:rsid w:val="00FC5ED9"/>
    <w:rsid w:val="00FC61BA"/>
    <w:rsid w:val="00FC61EC"/>
    <w:rsid w:val="00FC6730"/>
    <w:rsid w:val="00FC69F0"/>
    <w:rsid w:val="00FC6C78"/>
    <w:rsid w:val="00FC7922"/>
    <w:rsid w:val="00FC795F"/>
    <w:rsid w:val="00FD02B0"/>
    <w:rsid w:val="00FD061F"/>
    <w:rsid w:val="00FD0C19"/>
    <w:rsid w:val="00FD0E6D"/>
    <w:rsid w:val="00FD0EB8"/>
    <w:rsid w:val="00FD2970"/>
    <w:rsid w:val="00FD2B1A"/>
    <w:rsid w:val="00FD2E17"/>
    <w:rsid w:val="00FD2F17"/>
    <w:rsid w:val="00FD3343"/>
    <w:rsid w:val="00FD336F"/>
    <w:rsid w:val="00FD38F1"/>
    <w:rsid w:val="00FD4278"/>
    <w:rsid w:val="00FD466D"/>
    <w:rsid w:val="00FD4823"/>
    <w:rsid w:val="00FD4A24"/>
    <w:rsid w:val="00FD4C9A"/>
    <w:rsid w:val="00FD4F75"/>
    <w:rsid w:val="00FD53F9"/>
    <w:rsid w:val="00FD5C92"/>
    <w:rsid w:val="00FD6602"/>
    <w:rsid w:val="00FD6E6B"/>
    <w:rsid w:val="00FD7235"/>
    <w:rsid w:val="00FD7560"/>
    <w:rsid w:val="00FD78BF"/>
    <w:rsid w:val="00FD7A43"/>
    <w:rsid w:val="00FD7D18"/>
    <w:rsid w:val="00FE0D17"/>
    <w:rsid w:val="00FE1A5E"/>
    <w:rsid w:val="00FE1DB5"/>
    <w:rsid w:val="00FE21E5"/>
    <w:rsid w:val="00FE24BC"/>
    <w:rsid w:val="00FE2FD9"/>
    <w:rsid w:val="00FE308D"/>
    <w:rsid w:val="00FE3903"/>
    <w:rsid w:val="00FE3F99"/>
    <w:rsid w:val="00FE4CEF"/>
    <w:rsid w:val="00FE52F3"/>
    <w:rsid w:val="00FE5443"/>
    <w:rsid w:val="00FE5B1D"/>
    <w:rsid w:val="00FE5E43"/>
    <w:rsid w:val="00FE6444"/>
    <w:rsid w:val="00FE6F8B"/>
    <w:rsid w:val="00FE77D9"/>
    <w:rsid w:val="00FF0B1D"/>
    <w:rsid w:val="00FF0CBA"/>
    <w:rsid w:val="00FF23DB"/>
    <w:rsid w:val="00FF34A8"/>
    <w:rsid w:val="00FF41DF"/>
    <w:rsid w:val="00FF443A"/>
    <w:rsid w:val="00FF4F98"/>
    <w:rsid w:val="00FF580E"/>
    <w:rsid w:val="00FF5886"/>
    <w:rsid w:val="00FF5D70"/>
    <w:rsid w:val="00FF647B"/>
    <w:rsid w:val="00FF6B06"/>
    <w:rsid w:val="00FF6DA3"/>
    <w:rsid w:val="00FF79C4"/>
    <w:rsid w:val="00FF7A7E"/>
    <w:rsid w:val="00FF7C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4AA3F"/>
  <w15:chartTrackingRefBased/>
  <w15:docId w15:val="{2604775F-5EC8-4658-8ADA-BA13555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3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4C8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E4D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F"/>
    <w:pPr>
      <w:tabs>
        <w:tab w:val="center" w:pos="4680"/>
        <w:tab w:val="right" w:pos="9360"/>
      </w:tabs>
    </w:pPr>
  </w:style>
  <w:style w:type="character" w:customStyle="1" w:styleId="HeaderChar">
    <w:name w:val="Header Char"/>
    <w:basedOn w:val="DefaultParagraphFont"/>
    <w:link w:val="Header"/>
    <w:uiPriority w:val="99"/>
    <w:rsid w:val="0054172F"/>
  </w:style>
  <w:style w:type="paragraph" w:styleId="Footer">
    <w:name w:val="footer"/>
    <w:basedOn w:val="Normal"/>
    <w:link w:val="FooterChar"/>
    <w:uiPriority w:val="99"/>
    <w:unhideWhenUsed/>
    <w:rsid w:val="0054172F"/>
    <w:pPr>
      <w:tabs>
        <w:tab w:val="center" w:pos="4680"/>
        <w:tab w:val="right" w:pos="9360"/>
      </w:tabs>
    </w:pPr>
  </w:style>
  <w:style w:type="character" w:customStyle="1" w:styleId="FooterChar">
    <w:name w:val="Footer Char"/>
    <w:basedOn w:val="DefaultParagraphFont"/>
    <w:link w:val="Footer"/>
    <w:uiPriority w:val="99"/>
    <w:rsid w:val="0054172F"/>
  </w:style>
  <w:style w:type="paragraph" w:styleId="BalloonText">
    <w:name w:val="Balloon Text"/>
    <w:basedOn w:val="Normal"/>
    <w:link w:val="BalloonTextChar"/>
    <w:uiPriority w:val="99"/>
    <w:semiHidden/>
    <w:unhideWhenUsed/>
    <w:rsid w:val="005417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172F"/>
    <w:rPr>
      <w:rFonts w:ascii="Times New Roman" w:hAnsi="Times New Roman" w:cs="Times New Roman"/>
      <w:sz w:val="18"/>
      <w:szCs w:val="18"/>
    </w:rPr>
  </w:style>
  <w:style w:type="table" w:styleId="TableGrid">
    <w:name w:val="Table Grid"/>
    <w:basedOn w:val="TableNormal"/>
    <w:uiPriority w:val="59"/>
    <w:rsid w:val="0035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77187"/>
  </w:style>
  <w:style w:type="paragraph" w:styleId="ListParagraph">
    <w:name w:val="List Paragraph"/>
    <w:aliases w:val="EX Bullet"/>
    <w:basedOn w:val="Normal"/>
    <w:link w:val="ListParagraphChar"/>
    <w:uiPriority w:val="34"/>
    <w:qFormat/>
    <w:rsid w:val="00A45441"/>
    <w:pPr>
      <w:ind w:left="720"/>
      <w:contextualSpacing/>
    </w:pPr>
  </w:style>
  <w:style w:type="character" w:styleId="Hyperlink">
    <w:name w:val="Hyperlink"/>
    <w:basedOn w:val="DefaultParagraphFont"/>
    <w:uiPriority w:val="99"/>
    <w:unhideWhenUsed/>
    <w:rsid w:val="004B12ED"/>
    <w:rPr>
      <w:color w:val="0563C1" w:themeColor="hyperlink"/>
      <w:u w:val="single"/>
    </w:rPr>
  </w:style>
  <w:style w:type="character" w:styleId="UnresolvedMention">
    <w:name w:val="Unresolved Mention"/>
    <w:basedOn w:val="DefaultParagraphFont"/>
    <w:uiPriority w:val="99"/>
    <w:semiHidden/>
    <w:unhideWhenUsed/>
    <w:rsid w:val="004B12ED"/>
    <w:rPr>
      <w:color w:val="605E5C"/>
      <w:shd w:val="clear" w:color="auto" w:fill="E1DFDD"/>
    </w:rPr>
  </w:style>
  <w:style w:type="character" w:customStyle="1" w:styleId="ListParagraphChar">
    <w:name w:val="List Paragraph Char"/>
    <w:aliases w:val="EX Bullet Char"/>
    <w:link w:val="ListParagraph"/>
    <w:uiPriority w:val="34"/>
    <w:locked/>
    <w:rsid w:val="002931ED"/>
  </w:style>
  <w:style w:type="paragraph" w:customStyle="1" w:styleId="DehPressRelease">
    <w:name w:val="Deh_Press_Release"/>
    <w:basedOn w:val="Normal"/>
    <w:link w:val="DehPressReleaseChar"/>
    <w:qFormat/>
    <w:rsid w:val="004E7CE8"/>
    <w:pPr>
      <w:spacing w:after="160" w:line="259" w:lineRule="auto"/>
    </w:pPr>
    <w:rPr>
      <w:rFonts w:ascii="Ping LCG Regular" w:hAnsi="Ping LCG Regular"/>
      <w:sz w:val="22"/>
      <w:szCs w:val="28"/>
      <w:lang w:val="el-GR"/>
    </w:rPr>
  </w:style>
  <w:style w:type="character" w:customStyle="1" w:styleId="DehPressReleaseChar">
    <w:name w:val="Deh_Press_Release Char"/>
    <w:basedOn w:val="DefaultParagraphFont"/>
    <w:link w:val="DehPressRelease"/>
    <w:rsid w:val="004E7CE8"/>
    <w:rPr>
      <w:rFonts w:ascii="Ping LCG Regular" w:hAnsi="Ping LCG Regular"/>
      <w:sz w:val="22"/>
      <w:szCs w:val="28"/>
      <w:lang w:val="el-GR"/>
    </w:rPr>
  </w:style>
  <w:style w:type="character" w:styleId="CommentReference">
    <w:name w:val="annotation reference"/>
    <w:basedOn w:val="DefaultParagraphFont"/>
    <w:uiPriority w:val="99"/>
    <w:semiHidden/>
    <w:unhideWhenUsed/>
    <w:rsid w:val="004E7CE8"/>
    <w:rPr>
      <w:sz w:val="16"/>
      <w:szCs w:val="16"/>
    </w:rPr>
  </w:style>
  <w:style w:type="paragraph" w:styleId="CommentText">
    <w:name w:val="annotation text"/>
    <w:basedOn w:val="Normal"/>
    <w:link w:val="CommentTextChar"/>
    <w:uiPriority w:val="99"/>
    <w:unhideWhenUsed/>
    <w:rsid w:val="004E7CE8"/>
    <w:rPr>
      <w:sz w:val="20"/>
      <w:szCs w:val="20"/>
    </w:rPr>
  </w:style>
  <w:style w:type="character" w:customStyle="1" w:styleId="CommentTextChar">
    <w:name w:val="Comment Text Char"/>
    <w:basedOn w:val="DefaultParagraphFont"/>
    <w:link w:val="CommentText"/>
    <w:uiPriority w:val="99"/>
    <w:rsid w:val="004E7CE8"/>
    <w:rPr>
      <w:sz w:val="20"/>
      <w:szCs w:val="20"/>
    </w:rPr>
  </w:style>
  <w:style w:type="paragraph" w:styleId="Revision">
    <w:name w:val="Revision"/>
    <w:hidden/>
    <w:uiPriority w:val="99"/>
    <w:semiHidden/>
    <w:rsid w:val="00333A95"/>
  </w:style>
  <w:style w:type="paragraph" w:styleId="FootnoteText">
    <w:name w:val="footnote text"/>
    <w:basedOn w:val="Normal"/>
    <w:link w:val="FootnoteTextChar"/>
    <w:uiPriority w:val="99"/>
    <w:unhideWhenUsed/>
    <w:rsid w:val="00B038DD"/>
    <w:rPr>
      <w:rFonts w:ascii="Ping LCG Regular" w:hAnsi="Ping LCG Regular" w:cs="Times New Roman (Body CS)"/>
      <w:sz w:val="20"/>
      <w:szCs w:val="20"/>
    </w:rPr>
  </w:style>
  <w:style w:type="character" w:customStyle="1" w:styleId="FootnoteTextChar">
    <w:name w:val="Footnote Text Char"/>
    <w:basedOn w:val="DefaultParagraphFont"/>
    <w:link w:val="FootnoteText"/>
    <w:uiPriority w:val="99"/>
    <w:rsid w:val="00B038DD"/>
    <w:rPr>
      <w:rFonts w:ascii="Ping LCG Regular" w:hAnsi="Ping LCG Regular" w:cs="Times New Roman (Body CS)"/>
      <w:sz w:val="20"/>
      <w:szCs w:val="20"/>
    </w:rPr>
  </w:style>
  <w:style w:type="character" w:styleId="FootnoteReference">
    <w:name w:val="footnote reference"/>
    <w:basedOn w:val="DefaultParagraphFont"/>
    <w:uiPriority w:val="99"/>
    <w:unhideWhenUsed/>
    <w:rsid w:val="00B038DD"/>
    <w:rPr>
      <w:vertAlign w:val="superscript"/>
    </w:rPr>
  </w:style>
  <w:style w:type="paragraph" w:styleId="NormalWeb">
    <w:name w:val="Normal (Web)"/>
    <w:basedOn w:val="Normal"/>
    <w:uiPriority w:val="99"/>
    <w:unhideWhenUsed/>
    <w:rsid w:val="0052195E"/>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14C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0E4DC2"/>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B23C8"/>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05744"/>
    <w:rPr>
      <w:b/>
      <w:bCs/>
    </w:rPr>
  </w:style>
  <w:style w:type="character" w:customStyle="1" w:styleId="CommentSubjectChar">
    <w:name w:val="Comment Subject Char"/>
    <w:basedOn w:val="CommentTextChar"/>
    <w:link w:val="CommentSubject"/>
    <w:uiPriority w:val="99"/>
    <w:semiHidden/>
    <w:rsid w:val="00805744"/>
    <w:rPr>
      <w:b/>
      <w:bCs/>
      <w:sz w:val="20"/>
      <w:szCs w:val="20"/>
    </w:rPr>
  </w:style>
  <w:style w:type="paragraph" w:customStyle="1" w:styleId="Default">
    <w:name w:val="Default"/>
    <w:rsid w:val="00900F60"/>
    <w:pPr>
      <w:autoSpaceDE w:val="0"/>
      <w:autoSpaceDN w:val="0"/>
      <w:adjustRightInd w:val="0"/>
    </w:pPr>
    <w:rPr>
      <w:rFonts w:ascii="Ping LCG Regular" w:hAnsi="Ping LCG Regular" w:cs="Ping LCG 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4757">
      <w:bodyDiv w:val="1"/>
      <w:marLeft w:val="0"/>
      <w:marRight w:val="0"/>
      <w:marTop w:val="0"/>
      <w:marBottom w:val="0"/>
      <w:divBdr>
        <w:top w:val="none" w:sz="0" w:space="0" w:color="auto"/>
        <w:left w:val="none" w:sz="0" w:space="0" w:color="auto"/>
        <w:bottom w:val="none" w:sz="0" w:space="0" w:color="auto"/>
        <w:right w:val="none" w:sz="0" w:space="0" w:color="auto"/>
      </w:divBdr>
    </w:div>
    <w:div w:id="114370775">
      <w:bodyDiv w:val="1"/>
      <w:marLeft w:val="0"/>
      <w:marRight w:val="0"/>
      <w:marTop w:val="0"/>
      <w:marBottom w:val="0"/>
      <w:divBdr>
        <w:top w:val="none" w:sz="0" w:space="0" w:color="auto"/>
        <w:left w:val="none" w:sz="0" w:space="0" w:color="auto"/>
        <w:bottom w:val="none" w:sz="0" w:space="0" w:color="auto"/>
        <w:right w:val="none" w:sz="0" w:space="0" w:color="auto"/>
      </w:divBdr>
    </w:div>
    <w:div w:id="292055409">
      <w:bodyDiv w:val="1"/>
      <w:marLeft w:val="0"/>
      <w:marRight w:val="0"/>
      <w:marTop w:val="0"/>
      <w:marBottom w:val="0"/>
      <w:divBdr>
        <w:top w:val="none" w:sz="0" w:space="0" w:color="auto"/>
        <w:left w:val="none" w:sz="0" w:space="0" w:color="auto"/>
        <w:bottom w:val="none" w:sz="0" w:space="0" w:color="auto"/>
        <w:right w:val="none" w:sz="0" w:space="0" w:color="auto"/>
      </w:divBdr>
    </w:div>
    <w:div w:id="354501828">
      <w:bodyDiv w:val="1"/>
      <w:marLeft w:val="0"/>
      <w:marRight w:val="0"/>
      <w:marTop w:val="0"/>
      <w:marBottom w:val="0"/>
      <w:divBdr>
        <w:top w:val="none" w:sz="0" w:space="0" w:color="auto"/>
        <w:left w:val="none" w:sz="0" w:space="0" w:color="auto"/>
        <w:bottom w:val="none" w:sz="0" w:space="0" w:color="auto"/>
        <w:right w:val="none" w:sz="0" w:space="0" w:color="auto"/>
      </w:divBdr>
    </w:div>
    <w:div w:id="366367960">
      <w:bodyDiv w:val="1"/>
      <w:marLeft w:val="0"/>
      <w:marRight w:val="0"/>
      <w:marTop w:val="0"/>
      <w:marBottom w:val="0"/>
      <w:divBdr>
        <w:top w:val="none" w:sz="0" w:space="0" w:color="auto"/>
        <w:left w:val="none" w:sz="0" w:space="0" w:color="auto"/>
        <w:bottom w:val="none" w:sz="0" w:space="0" w:color="auto"/>
        <w:right w:val="none" w:sz="0" w:space="0" w:color="auto"/>
      </w:divBdr>
    </w:div>
    <w:div w:id="420415496">
      <w:bodyDiv w:val="1"/>
      <w:marLeft w:val="0"/>
      <w:marRight w:val="0"/>
      <w:marTop w:val="0"/>
      <w:marBottom w:val="0"/>
      <w:divBdr>
        <w:top w:val="none" w:sz="0" w:space="0" w:color="auto"/>
        <w:left w:val="none" w:sz="0" w:space="0" w:color="auto"/>
        <w:bottom w:val="none" w:sz="0" w:space="0" w:color="auto"/>
        <w:right w:val="none" w:sz="0" w:space="0" w:color="auto"/>
      </w:divBdr>
      <w:divsChild>
        <w:div w:id="1812558596">
          <w:marLeft w:val="0"/>
          <w:marRight w:val="0"/>
          <w:marTop w:val="0"/>
          <w:marBottom w:val="0"/>
          <w:divBdr>
            <w:top w:val="none" w:sz="0" w:space="0" w:color="auto"/>
            <w:left w:val="none" w:sz="0" w:space="0" w:color="auto"/>
            <w:bottom w:val="none" w:sz="0" w:space="0" w:color="auto"/>
            <w:right w:val="none" w:sz="0" w:space="0" w:color="auto"/>
          </w:divBdr>
        </w:div>
      </w:divsChild>
    </w:div>
    <w:div w:id="568806389">
      <w:bodyDiv w:val="1"/>
      <w:marLeft w:val="0"/>
      <w:marRight w:val="0"/>
      <w:marTop w:val="0"/>
      <w:marBottom w:val="0"/>
      <w:divBdr>
        <w:top w:val="none" w:sz="0" w:space="0" w:color="auto"/>
        <w:left w:val="none" w:sz="0" w:space="0" w:color="auto"/>
        <w:bottom w:val="none" w:sz="0" w:space="0" w:color="auto"/>
        <w:right w:val="none" w:sz="0" w:space="0" w:color="auto"/>
      </w:divBdr>
    </w:div>
    <w:div w:id="699743875">
      <w:bodyDiv w:val="1"/>
      <w:marLeft w:val="0"/>
      <w:marRight w:val="0"/>
      <w:marTop w:val="0"/>
      <w:marBottom w:val="0"/>
      <w:divBdr>
        <w:top w:val="none" w:sz="0" w:space="0" w:color="auto"/>
        <w:left w:val="none" w:sz="0" w:space="0" w:color="auto"/>
        <w:bottom w:val="none" w:sz="0" w:space="0" w:color="auto"/>
        <w:right w:val="none" w:sz="0" w:space="0" w:color="auto"/>
      </w:divBdr>
    </w:div>
    <w:div w:id="706640371">
      <w:bodyDiv w:val="1"/>
      <w:marLeft w:val="0"/>
      <w:marRight w:val="0"/>
      <w:marTop w:val="0"/>
      <w:marBottom w:val="0"/>
      <w:divBdr>
        <w:top w:val="none" w:sz="0" w:space="0" w:color="auto"/>
        <w:left w:val="none" w:sz="0" w:space="0" w:color="auto"/>
        <w:bottom w:val="none" w:sz="0" w:space="0" w:color="auto"/>
        <w:right w:val="none" w:sz="0" w:space="0" w:color="auto"/>
      </w:divBdr>
    </w:div>
    <w:div w:id="784618012">
      <w:bodyDiv w:val="1"/>
      <w:marLeft w:val="0"/>
      <w:marRight w:val="0"/>
      <w:marTop w:val="0"/>
      <w:marBottom w:val="0"/>
      <w:divBdr>
        <w:top w:val="none" w:sz="0" w:space="0" w:color="auto"/>
        <w:left w:val="none" w:sz="0" w:space="0" w:color="auto"/>
        <w:bottom w:val="none" w:sz="0" w:space="0" w:color="auto"/>
        <w:right w:val="none" w:sz="0" w:space="0" w:color="auto"/>
      </w:divBdr>
    </w:div>
    <w:div w:id="787044493">
      <w:bodyDiv w:val="1"/>
      <w:marLeft w:val="0"/>
      <w:marRight w:val="0"/>
      <w:marTop w:val="0"/>
      <w:marBottom w:val="0"/>
      <w:divBdr>
        <w:top w:val="none" w:sz="0" w:space="0" w:color="auto"/>
        <w:left w:val="none" w:sz="0" w:space="0" w:color="auto"/>
        <w:bottom w:val="none" w:sz="0" w:space="0" w:color="auto"/>
        <w:right w:val="none" w:sz="0" w:space="0" w:color="auto"/>
      </w:divBdr>
    </w:div>
    <w:div w:id="885221275">
      <w:bodyDiv w:val="1"/>
      <w:marLeft w:val="0"/>
      <w:marRight w:val="0"/>
      <w:marTop w:val="0"/>
      <w:marBottom w:val="0"/>
      <w:divBdr>
        <w:top w:val="none" w:sz="0" w:space="0" w:color="auto"/>
        <w:left w:val="none" w:sz="0" w:space="0" w:color="auto"/>
        <w:bottom w:val="none" w:sz="0" w:space="0" w:color="auto"/>
        <w:right w:val="none" w:sz="0" w:space="0" w:color="auto"/>
      </w:divBdr>
    </w:div>
    <w:div w:id="933248448">
      <w:bodyDiv w:val="1"/>
      <w:marLeft w:val="0"/>
      <w:marRight w:val="0"/>
      <w:marTop w:val="0"/>
      <w:marBottom w:val="0"/>
      <w:divBdr>
        <w:top w:val="none" w:sz="0" w:space="0" w:color="auto"/>
        <w:left w:val="none" w:sz="0" w:space="0" w:color="auto"/>
        <w:bottom w:val="none" w:sz="0" w:space="0" w:color="auto"/>
        <w:right w:val="none" w:sz="0" w:space="0" w:color="auto"/>
      </w:divBdr>
    </w:div>
    <w:div w:id="1012561424">
      <w:bodyDiv w:val="1"/>
      <w:marLeft w:val="0"/>
      <w:marRight w:val="0"/>
      <w:marTop w:val="0"/>
      <w:marBottom w:val="0"/>
      <w:divBdr>
        <w:top w:val="none" w:sz="0" w:space="0" w:color="auto"/>
        <w:left w:val="none" w:sz="0" w:space="0" w:color="auto"/>
        <w:bottom w:val="none" w:sz="0" w:space="0" w:color="auto"/>
        <w:right w:val="none" w:sz="0" w:space="0" w:color="auto"/>
      </w:divBdr>
    </w:div>
    <w:div w:id="1165121455">
      <w:bodyDiv w:val="1"/>
      <w:marLeft w:val="0"/>
      <w:marRight w:val="0"/>
      <w:marTop w:val="0"/>
      <w:marBottom w:val="0"/>
      <w:divBdr>
        <w:top w:val="none" w:sz="0" w:space="0" w:color="auto"/>
        <w:left w:val="none" w:sz="0" w:space="0" w:color="auto"/>
        <w:bottom w:val="none" w:sz="0" w:space="0" w:color="auto"/>
        <w:right w:val="none" w:sz="0" w:space="0" w:color="auto"/>
      </w:divBdr>
      <w:divsChild>
        <w:div w:id="1700743929">
          <w:marLeft w:val="0"/>
          <w:marRight w:val="0"/>
          <w:marTop w:val="0"/>
          <w:marBottom w:val="0"/>
          <w:divBdr>
            <w:top w:val="none" w:sz="0" w:space="0" w:color="auto"/>
            <w:left w:val="none" w:sz="0" w:space="0" w:color="auto"/>
            <w:bottom w:val="none" w:sz="0" w:space="0" w:color="auto"/>
            <w:right w:val="none" w:sz="0" w:space="0" w:color="auto"/>
          </w:divBdr>
        </w:div>
      </w:divsChild>
    </w:div>
    <w:div w:id="1275864989">
      <w:bodyDiv w:val="1"/>
      <w:marLeft w:val="0"/>
      <w:marRight w:val="0"/>
      <w:marTop w:val="0"/>
      <w:marBottom w:val="0"/>
      <w:divBdr>
        <w:top w:val="none" w:sz="0" w:space="0" w:color="auto"/>
        <w:left w:val="none" w:sz="0" w:space="0" w:color="auto"/>
        <w:bottom w:val="none" w:sz="0" w:space="0" w:color="auto"/>
        <w:right w:val="none" w:sz="0" w:space="0" w:color="auto"/>
      </w:divBdr>
    </w:div>
    <w:div w:id="1277904657">
      <w:bodyDiv w:val="1"/>
      <w:marLeft w:val="0"/>
      <w:marRight w:val="0"/>
      <w:marTop w:val="0"/>
      <w:marBottom w:val="0"/>
      <w:divBdr>
        <w:top w:val="none" w:sz="0" w:space="0" w:color="auto"/>
        <w:left w:val="none" w:sz="0" w:space="0" w:color="auto"/>
        <w:bottom w:val="none" w:sz="0" w:space="0" w:color="auto"/>
        <w:right w:val="none" w:sz="0" w:space="0" w:color="auto"/>
      </w:divBdr>
    </w:div>
    <w:div w:id="1340693675">
      <w:bodyDiv w:val="1"/>
      <w:marLeft w:val="0"/>
      <w:marRight w:val="0"/>
      <w:marTop w:val="0"/>
      <w:marBottom w:val="0"/>
      <w:divBdr>
        <w:top w:val="none" w:sz="0" w:space="0" w:color="auto"/>
        <w:left w:val="none" w:sz="0" w:space="0" w:color="auto"/>
        <w:bottom w:val="none" w:sz="0" w:space="0" w:color="auto"/>
        <w:right w:val="none" w:sz="0" w:space="0" w:color="auto"/>
      </w:divBdr>
    </w:div>
    <w:div w:id="1422490449">
      <w:bodyDiv w:val="1"/>
      <w:marLeft w:val="0"/>
      <w:marRight w:val="0"/>
      <w:marTop w:val="0"/>
      <w:marBottom w:val="0"/>
      <w:divBdr>
        <w:top w:val="none" w:sz="0" w:space="0" w:color="auto"/>
        <w:left w:val="none" w:sz="0" w:space="0" w:color="auto"/>
        <w:bottom w:val="none" w:sz="0" w:space="0" w:color="auto"/>
        <w:right w:val="none" w:sz="0" w:space="0" w:color="auto"/>
      </w:divBdr>
    </w:div>
    <w:div w:id="1573084511">
      <w:bodyDiv w:val="1"/>
      <w:marLeft w:val="0"/>
      <w:marRight w:val="0"/>
      <w:marTop w:val="0"/>
      <w:marBottom w:val="0"/>
      <w:divBdr>
        <w:top w:val="none" w:sz="0" w:space="0" w:color="auto"/>
        <w:left w:val="none" w:sz="0" w:space="0" w:color="auto"/>
        <w:bottom w:val="none" w:sz="0" w:space="0" w:color="auto"/>
        <w:right w:val="none" w:sz="0" w:space="0" w:color="auto"/>
      </w:divBdr>
    </w:div>
    <w:div w:id="1621296734">
      <w:bodyDiv w:val="1"/>
      <w:marLeft w:val="0"/>
      <w:marRight w:val="0"/>
      <w:marTop w:val="0"/>
      <w:marBottom w:val="0"/>
      <w:divBdr>
        <w:top w:val="none" w:sz="0" w:space="0" w:color="auto"/>
        <w:left w:val="none" w:sz="0" w:space="0" w:color="auto"/>
        <w:bottom w:val="none" w:sz="0" w:space="0" w:color="auto"/>
        <w:right w:val="none" w:sz="0" w:space="0" w:color="auto"/>
      </w:divBdr>
    </w:div>
    <w:div w:id="1740640241">
      <w:bodyDiv w:val="1"/>
      <w:marLeft w:val="0"/>
      <w:marRight w:val="0"/>
      <w:marTop w:val="0"/>
      <w:marBottom w:val="0"/>
      <w:divBdr>
        <w:top w:val="none" w:sz="0" w:space="0" w:color="auto"/>
        <w:left w:val="none" w:sz="0" w:space="0" w:color="auto"/>
        <w:bottom w:val="none" w:sz="0" w:space="0" w:color="auto"/>
        <w:right w:val="none" w:sz="0" w:space="0" w:color="auto"/>
      </w:divBdr>
    </w:div>
    <w:div w:id="1742633651">
      <w:bodyDiv w:val="1"/>
      <w:marLeft w:val="0"/>
      <w:marRight w:val="0"/>
      <w:marTop w:val="0"/>
      <w:marBottom w:val="0"/>
      <w:divBdr>
        <w:top w:val="none" w:sz="0" w:space="0" w:color="auto"/>
        <w:left w:val="none" w:sz="0" w:space="0" w:color="auto"/>
        <w:bottom w:val="none" w:sz="0" w:space="0" w:color="auto"/>
        <w:right w:val="none" w:sz="0" w:space="0" w:color="auto"/>
      </w:divBdr>
    </w:div>
    <w:div w:id="1871608530">
      <w:bodyDiv w:val="1"/>
      <w:marLeft w:val="0"/>
      <w:marRight w:val="0"/>
      <w:marTop w:val="0"/>
      <w:marBottom w:val="0"/>
      <w:divBdr>
        <w:top w:val="none" w:sz="0" w:space="0" w:color="auto"/>
        <w:left w:val="none" w:sz="0" w:space="0" w:color="auto"/>
        <w:bottom w:val="none" w:sz="0" w:space="0" w:color="auto"/>
        <w:right w:val="none" w:sz="0" w:space="0" w:color="auto"/>
      </w:divBdr>
    </w:div>
    <w:div w:id="2119829923">
      <w:bodyDiv w:val="1"/>
      <w:marLeft w:val="0"/>
      <w:marRight w:val="0"/>
      <w:marTop w:val="0"/>
      <w:marBottom w:val="0"/>
      <w:divBdr>
        <w:top w:val="none" w:sz="0" w:space="0" w:color="auto"/>
        <w:left w:val="none" w:sz="0" w:space="0" w:color="auto"/>
        <w:bottom w:val="none" w:sz="0" w:space="0" w:color="auto"/>
        <w:right w:val="none" w:sz="0" w:space="0" w:color="auto"/>
      </w:divBdr>
    </w:div>
    <w:div w:id="214014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dei.gr"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mailto:ir@ppcgroup.com" TargetMode="External"/><Relationship Id="rId17" Type="http://schemas.openxmlformats.org/officeDocument/2006/relationships/image" Target="media/image5.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20" ma:contentTypeDescription="Δημιουργία νέου εγγράφου" ma:contentTypeScope="" ma:versionID="e39ce4dff06c5d1501f96686d94f339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a9b3cb088f9749417b872dcdc11360e1"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e3957d-0996-4bd8-adeb-86c932f9cb50}"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D2B620-97D9-4539-9773-74CA7BD2B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414C3-897F-CA45-994C-929EB21BF4F6}">
  <ds:schemaRefs>
    <ds:schemaRef ds:uri="http://schemas.openxmlformats.org/officeDocument/2006/bibliography"/>
  </ds:schemaRefs>
</ds:datastoreItem>
</file>

<file path=customXml/itemProps3.xml><?xml version="1.0" encoding="utf-8"?>
<ds:datastoreItem xmlns:ds="http://schemas.openxmlformats.org/officeDocument/2006/customXml" ds:itemID="{60FB2FCB-7B41-4761-9AA7-76D41FD382B9}">
  <ds:schemaRefs>
    <ds:schemaRef ds:uri="http://schemas.microsoft.com/sharepoint/v3/contenttype/forms"/>
  </ds:schemaRefs>
</ds:datastoreItem>
</file>

<file path=customXml/itemProps4.xml><?xml version="1.0" encoding="utf-8"?>
<ds:datastoreItem xmlns:ds="http://schemas.openxmlformats.org/officeDocument/2006/customXml" ds:itemID="{33BE97F6-0ADB-4EED-A5EB-CFA6B4A1D925}">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2862</Words>
  <Characters>16320</Characters>
  <Application>Microsoft Office Word</Application>
  <DocSecurity>0</DocSecurity>
  <Lines>136</Lines>
  <Paragraphs>38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19144</CharactersWithSpaces>
  <SharedDoc>false</SharedDoc>
  <HLinks>
    <vt:vector size="12" baseType="variant">
      <vt:variant>
        <vt:i4>1245238</vt:i4>
      </vt:variant>
      <vt:variant>
        <vt:i4>3</vt:i4>
      </vt:variant>
      <vt:variant>
        <vt:i4>0</vt:i4>
      </vt:variant>
      <vt:variant>
        <vt:i4>5</vt:i4>
      </vt:variant>
      <vt:variant>
        <vt:lpwstr>mailto:information@dei.gr</vt:lpwstr>
      </vt:variant>
      <vt:variant>
        <vt:lpwstr/>
      </vt:variant>
      <vt:variant>
        <vt:i4>5046381</vt:i4>
      </vt:variant>
      <vt:variant>
        <vt:i4>0</vt:i4>
      </vt:variant>
      <vt:variant>
        <vt:i4>0</vt:i4>
      </vt:variant>
      <vt:variant>
        <vt:i4>5</vt:i4>
      </vt:variant>
      <vt:variant>
        <vt:lpwstr>mailto:ir@ppcgroup.com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Chatzakis Emmanouil</cp:lastModifiedBy>
  <cp:revision>32</cp:revision>
  <cp:lastPrinted>2024-05-26T06:08:00Z</cp:lastPrinted>
  <dcterms:created xsi:type="dcterms:W3CDTF">2025-03-25T20:14:00Z</dcterms:created>
  <dcterms:modified xsi:type="dcterms:W3CDTF">2025-03-26T12:24:00Z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0x010100156DD0188A2F454B943ADEE99353ADCA</vt:lpwstr>
  </property>
  <property fmtid="{D5CDD505-2E9C-101B-9397-08002B2CF9AE}" pid="3" name="MediaServiceImageTags">
    <vt:lpwstr/>
  </property>
</Properties>
</file>